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9D1148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959B2" wp14:editId="4802F9C6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9D1148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9D1148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302C09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19.12.</w:t>
            </w:r>
            <w:r w:rsidR="003F40F6"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302C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2C09">
              <w:rPr>
                <w:rFonts w:ascii="Times New Roman" w:hAnsi="Times New Roman" w:cs="Times New Roman"/>
                <w:sz w:val="28"/>
                <w:szCs w:val="28"/>
              </w:rPr>
              <w:t xml:space="preserve"> 1501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26642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26642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</w:t>
      </w:r>
    </w:p>
    <w:p w:rsidR="003F40F6" w:rsidRPr="003F40F6" w:rsidRDefault="00726642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3F40F6" w:rsidRPr="003F4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726642" w:rsidRDefault="003F40F6" w:rsidP="0072664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000000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</w:t>
      </w:r>
      <w:r w:rsidR="00726642">
        <w:rPr>
          <w:rFonts w:ascii="Times New Roman" w:hAnsi="Times New Roman"/>
          <w:b w:val="0"/>
          <w:color w:val="auto"/>
          <w:lang w:val="ru-RU"/>
        </w:rPr>
        <w:t>9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в области </w:t>
      </w:r>
      <w:r w:rsidR="00726642">
        <w:rPr>
          <w:rFonts w:ascii="Times New Roman" w:hAnsi="Times New Roman"/>
          <w:b w:val="0"/>
          <w:color w:val="000000"/>
          <w:lang w:val="ru-RU"/>
        </w:rPr>
        <w:t>автомобильного транспорта и дорожного хозяйства</w:t>
      </w:r>
      <w:r w:rsidRPr="003F40F6">
        <w:rPr>
          <w:rFonts w:ascii="Times New Roman" w:hAnsi="Times New Roman"/>
          <w:b w:val="0"/>
          <w:color w:val="000000"/>
        </w:rPr>
        <w:t xml:space="preserve"> 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40F6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в области </w:t>
      </w:r>
      <w:r w:rsidR="00B40659">
        <w:rPr>
          <w:rFonts w:ascii="Times New Roman" w:hAnsi="Times New Roman" w:cs="Times New Roman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978" w:rsidRDefault="00604978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978" w:rsidRDefault="00604978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978" w:rsidRDefault="00604978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978" w:rsidRDefault="00604978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4978" w:rsidRPr="003F40F6" w:rsidRDefault="00604978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1148" w:rsidRDefault="009D1148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9D1148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9D1148" w:rsidRPr="009D1148" w:rsidRDefault="009D1148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от </w:t>
      </w:r>
      <w:r w:rsidR="00302C09">
        <w:rPr>
          <w:rFonts w:ascii="Times New Roman" w:hAnsi="Times New Roman" w:cs="Times New Roman"/>
          <w:sz w:val="20"/>
          <w:szCs w:val="20"/>
        </w:rPr>
        <w:t>19.12. 2023 г. № 1501</w:t>
      </w:r>
      <w:bookmarkStart w:id="0" w:name="_GoBack"/>
      <w:bookmarkEnd w:id="0"/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</w:t>
      </w:r>
      <w:r w:rsidR="00726642" w:rsidRPr="00726642">
        <w:rPr>
          <w:rFonts w:ascii="Times New Roman" w:hAnsi="Times New Roman"/>
          <w:b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/>
          <w:color w:val="000000"/>
        </w:rPr>
        <w:t xml:space="preserve">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 xml:space="preserve">автомобильного транспорта и дорожного хозяйства </w:t>
      </w:r>
      <w:r w:rsidRP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72664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контроля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контролю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период с января по октябрь 2023 года в рамках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контролируемыми лицами </w:t>
      </w:r>
      <w:r w:rsidRPr="003F40F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72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>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земельного контроля»;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является недостаточно сформированное понимание исполнения обязательных требований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59" w:rsidRDefault="00B40659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отношений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2) формирование единого понимания обязательных требований законодательства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у всех участников отношений, в том числе путем обеспечения доступности информации об обязательных требованиях в сфере отношений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  <w:r w:rsidR="003F40F6"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способах получения консультаций по вопросам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контроле </w:t>
            </w:r>
            <w:r w:rsidR="00726642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="00726642"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и направление предостережения о недопустимости нарушения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 xml:space="preserve"> полнота информации, размещенной на официальном сайте уполномоченного органа в соответствии с частью 3 статьи 46 Федерального </w:t>
      </w:r>
      <w:r w:rsidRPr="003F40F6">
        <w:rPr>
          <w:rFonts w:ascii="Times New Roman" w:hAnsi="Times New Roman" w:cs="Times New Roman"/>
          <w:sz w:val="28"/>
          <w:szCs w:val="28"/>
        </w:rPr>
        <w:lastRenderedPageBreak/>
        <w:t>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области 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>автомобильного транспорта и дорожного хозяйства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 w:rsidSect="006049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302C09"/>
    <w:rsid w:val="003F40F6"/>
    <w:rsid w:val="00604978"/>
    <w:rsid w:val="006A23FB"/>
    <w:rsid w:val="00726642"/>
    <w:rsid w:val="008D7BD3"/>
    <w:rsid w:val="009D1148"/>
    <w:rsid w:val="00B40659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5</cp:revision>
  <cp:lastPrinted>2023-12-15T06:28:00Z</cp:lastPrinted>
  <dcterms:created xsi:type="dcterms:W3CDTF">2023-12-15T06:25:00Z</dcterms:created>
  <dcterms:modified xsi:type="dcterms:W3CDTF">2023-12-20T05:24:00Z</dcterms:modified>
</cp:coreProperties>
</file>