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03F" w:rsidRDefault="00434FDB">
      <w:pPr>
        <w:spacing w:after="5" w:line="264" w:lineRule="auto"/>
        <w:ind w:left="427" w:right="69" w:firstLine="710"/>
        <w:jc w:val="right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Приложение к Постановлению</w:t>
      </w:r>
    </w:p>
    <w:p w:rsidR="006E203F" w:rsidRDefault="00434FDB">
      <w:pPr>
        <w:spacing w:after="5" w:line="264" w:lineRule="auto"/>
        <w:ind w:left="427" w:right="69" w:firstLine="710"/>
        <w:jc w:val="right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администрации Грязинского муниципального района</w:t>
      </w:r>
    </w:p>
    <w:p w:rsidR="006E203F" w:rsidRDefault="00434FDB">
      <w:pPr>
        <w:spacing w:after="5" w:line="264" w:lineRule="auto"/>
        <w:ind w:left="427" w:right="69" w:firstLine="710"/>
        <w:jc w:val="right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№</w:t>
      </w:r>
      <w:r w:rsidRPr="00434FDB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1269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от </w:t>
      </w:r>
      <w:r w:rsidRPr="00434FDB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«13</w:t>
      </w:r>
      <w:r w:rsidRPr="00434FDB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»08.</w:t>
      </w:r>
      <w:r w:rsidRPr="00434FDB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2024 г.</w:t>
      </w:r>
    </w:p>
    <w:p w:rsidR="006E203F" w:rsidRDefault="006E203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203F" w:rsidRDefault="006E203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203F" w:rsidRDefault="006E203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203F" w:rsidRDefault="006E203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203F" w:rsidRDefault="006E203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203F" w:rsidRDefault="006E203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203F" w:rsidRDefault="00434F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СХЕМА Т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ЕПЛОСНАБЖЕНИЯ </w:t>
      </w:r>
    </w:p>
    <w:p w:rsidR="006E203F" w:rsidRDefault="00434F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СЕЛЬСКОГО ПОСЕЛЕНИЯ ЯРЛУКОВСКИЙ СЕЛЬСОВЕТ</w:t>
      </w:r>
    </w:p>
    <w:p w:rsidR="006E203F" w:rsidRDefault="00434F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ГРЯЗИНСКОГО РАЙОНА </w:t>
      </w:r>
    </w:p>
    <w:p w:rsidR="006E203F" w:rsidRDefault="00434F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ЛИПЕЦКОЙ ОБЛАСТИ</w:t>
      </w:r>
    </w:p>
    <w:p w:rsidR="006E203F" w:rsidRDefault="00434F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НА ПЕРИОД ДО 2044 ГОДА</w:t>
      </w:r>
    </w:p>
    <w:p w:rsidR="006E203F" w:rsidRDefault="006E20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E203F" w:rsidRDefault="00434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(АКТУАЛИЗАЦИЯ НА 2024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ГОД)</w:t>
      </w:r>
    </w:p>
    <w:p w:rsidR="006E203F" w:rsidRDefault="006E203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203F" w:rsidRDefault="006E203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203F" w:rsidRDefault="00434F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Утверждаемая часть</w:t>
      </w:r>
    </w:p>
    <w:p w:rsidR="006E203F" w:rsidRDefault="006E203F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E203F" w:rsidRDefault="006E203F">
      <w:pPr>
        <w:rPr>
          <w:b/>
        </w:rPr>
      </w:pPr>
    </w:p>
    <w:p w:rsidR="006E203F" w:rsidRDefault="006E203F"/>
    <w:p w:rsidR="006E203F" w:rsidRDefault="006E203F"/>
    <w:p w:rsidR="006E203F" w:rsidRDefault="006E203F"/>
    <w:p w:rsidR="006E203F" w:rsidRDefault="006E203F"/>
    <w:p w:rsidR="006E203F" w:rsidRDefault="006E203F"/>
    <w:p w:rsidR="006E203F" w:rsidRDefault="006E203F"/>
    <w:p w:rsidR="006E203F" w:rsidRDefault="006E203F"/>
    <w:p w:rsidR="006E203F" w:rsidRDefault="006E203F"/>
    <w:p w:rsidR="006E203F" w:rsidRDefault="006E203F"/>
    <w:p w:rsidR="006E203F" w:rsidRDefault="006E203F"/>
    <w:p w:rsidR="006E203F" w:rsidRDefault="006E203F"/>
    <w:p w:rsidR="006E203F" w:rsidRDefault="006E203F"/>
    <w:p w:rsidR="006E203F" w:rsidRDefault="006E203F"/>
    <w:p w:rsidR="006E203F" w:rsidRDefault="00434F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 2024</w:t>
      </w:r>
    </w:p>
    <w:p w:rsidR="006E203F" w:rsidRDefault="00434FDB">
      <w:pPr>
        <w:pStyle w:val="12"/>
        <w:rPr>
          <w:lang w:eastAsia="ru-RU"/>
        </w:rPr>
      </w:pPr>
      <w:bookmarkStart w:id="1" w:name="_Toc143028906"/>
      <w:bookmarkStart w:id="2" w:name="_Toc174363494"/>
      <w:r>
        <w:rPr>
          <w:lang w:eastAsia="ru-RU"/>
        </w:rPr>
        <w:lastRenderedPageBreak/>
        <w:t>Состав проекта</w:t>
      </w:r>
      <w:bookmarkEnd w:id="1"/>
      <w:bookmarkEnd w:id="2"/>
    </w:p>
    <w:p w:rsidR="006E203F" w:rsidRDefault="00434FDB">
      <w:pPr>
        <w:ind w:firstLine="709"/>
      </w:pPr>
      <w:bookmarkStart w:id="3" w:name="_Toc174314646"/>
      <w:bookmarkStart w:id="4" w:name="_Toc174363495"/>
      <w:r>
        <w:t>Обосновывающие материалы к схеме теплоснабжения</w:t>
      </w:r>
      <w:bookmarkEnd w:id="3"/>
      <w:bookmarkEnd w:id="4"/>
    </w:p>
    <w:p w:rsidR="006E203F" w:rsidRDefault="00434FDB">
      <w:pPr>
        <w:pStyle w:val="33330"/>
      </w:pPr>
      <w:r>
        <w:t>Глава 1 Существующее положение в сфере производства, передачи и потребления тепловой энергии для целей теплоснабжения</w:t>
      </w:r>
    </w:p>
    <w:p w:rsidR="006E203F" w:rsidRDefault="00434FDB">
      <w:pPr>
        <w:pStyle w:val="33330"/>
      </w:pPr>
      <w:r>
        <w:t>Часть 1 Функциональная</w:t>
      </w:r>
      <w:r>
        <w:t xml:space="preserve"> структура теплоснабжения</w:t>
      </w:r>
    </w:p>
    <w:p w:rsidR="006E203F" w:rsidRDefault="00434FDB">
      <w:pPr>
        <w:pStyle w:val="33330"/>
      </w:pPr>
      <w:r>
        <w:t>Часть 2 Источники тепловой энергии</w:t>
      </w:r>
    </w:p>
    <w:p w:rsidR="006E203F" w:rsidRDefault="00434FDB">
      <w:pPr>
        <w:pStyle w:val="33330"/>
      </w:pPr>
      <w:r>
        <w:t>Часть 3 Тепловые сети, сооружения на них</w:t>
      </w:r>
    </w:p>
    <w:p w:rsidR="006E203F" w:rsidRDefault="00434FDB">
      <w:pPr>
        <w:pStyle w:val="33330"/>
      </w:pPr>
      <w:r>
        <w:t>Часть 4 Зоны действия источников тепловой энергии</w:t>
      </w:r>
    </w:p>
    <w:p w:rsidR="006E203F" w:rsidRDefault="00434FDB">
      <w:pPr>
        <w:pStyle w:val="33330"/>
      </w:pPr>
      <w:r>
        <w:t>Часть 5 Тепловые нагрузки потребителей тепловой энергии, групп потребителей тепловой энергии</w:t>
      </w:r>
    </w:p>
    <w:p w:rsidR="006E203F" w:rsidRDefault="00434FDB">
      <w:pPr>
        <w:pStyle w:val="33330"/>
      </w:pPr>
      <w:r>
        <w:t>Часть 6 Бал</w:t>
      </w:r>
      <w:r>
        <w:t>ансы тепловой мощности и тепловой нагрузки</w:t>
      </w:r>
    </w:p>
    <w:p w:rsidR="006E203F" w:rsidRDefault="00434FDB">
      <w:pPr>
        <w:pStyle w:val="33330"/>
      </w:pPr>
      <w:r>
        <w:t>Часть 7 Балансы теплоносителя</w:t>
      </w:r>
    </w:p>
    <w:p w:rsidR="006E203F" w:rsidRDefault="00434FDB">
      <w:pPr>
        <w:pStyle w:val="33330"/>
      </w:pPr>
      <w:r>
        <w:t>Часть 8 Топливные балансы источников тепловой энергии и система обеспечения топливом</w:t>
      </w:r>
    </w:p>
    <w:p w:rsidR="006E203F" w:rsidRDefault="00434FDB">
      <w:pPr>
        <w:pStyle w:val="33330"/>
      </w:pPr>
      <w:r>
        <w:t>Часть 9 Надежность теплоснабжения</w:t>
      </w:r>
    </w:p>
    <w:p w:rsidR="006E203F" w:rsidRDefault="00434FDB">
      <w:pPr>
        <w:pStyle w:val="33330"/>
      </w:pPr>
      <w:r>
        <w:t>Часть 10 Технико-экономические показатели теплоснабжающей органи</w:t>
      </w:r>
      <w:r>
        <w:t>зации</w:t>
      </w:r>
    </w:p>
    <w:p w:rsidR="006E203F" w:rsidRDefault="00434FDB">
      <w:pPr>
        <w:pStyle w:val="33330"/>
      </w:pPr>
      <w:r>
        <w:t>Часть 11 Цены (тарифы) в сфере теплоснабжения</w:t>
      </w:r>
    </w:p>
    <w:p w:rsidR="006E203F" w:rsidRDefault="00434FDB">
      <w:pPr>
        <w:pStyle w:val="33330"/>
      </w:pPr>
      <w:r>
        <w:t>Часть 12 Описание существующих технических и технологических проблем в системах теплоснабжения</w:t>
      </w:r>
    </w:p>
    <w:p w:rsidR="006E203F" w:rsidRDefault="00434FDB">
      <w:pPr>
        <w:pStyle w:val="33330"/>
      </w:pPr>
      <w:r>
        <w:t>Глава 2 Существующее и перспективное потребление тепловой энергии на цели теплоснабжения</w:t>
      </w:r>
    </w:p>
    <w:p w:rsidR="006E203F" w:rsidRDefault="00434FDB">
      <w:pPr>
        <w:pStyle w:val="33330"/>
      </w:pPr>
      <w:r>
        <w:t>Глава 3. Электронная</w:t>
      </w:r>
      <w:r>
        <w:t xml:space="preserve"> модель системы теплоснабжения</w:t>
      </w:r>
    </w:p>
    <w:p w:rsidR="006E203F" w:rsidRDefault="00434FDB">
      <w:pPr>
        <w:pStyle w:val="33330"/>
      </w:pPr>
      <w:r>
        <w:t>Глава 4 Существующие и перспективные балансы тепловой мощности источников тепловой энергии и тепловой нагрузки потребителей</w:t>
      </w:r>
    </w:p>
    <w:p w:rsidR="006E203F" w:rsidRDefault="00434FDB">
      <w:pPr>
        <w:pStyle w:val="33330"/>
      </w:pPr>
      <w:r>
        <w:t>Глава 5 Мастер-план развития систем теплоснабжения</w:t>
      </w:r>
    </w:p>
    <w:p w:rsidR="006E203F" w:rsidRDefault="00434FDB">
      <w:pPr>
        <w:pStyle w:val="33330"/>
      </w:pPr>
      <w:r>
        <w:t>Глава 6 Существующие и перспективные балансы произ</w:t>
      </w:r>
      <w:r>
        <w:t>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</w:t>
      </w:r>
    </w:p>
    <w:p w:rsidR="006E203F" w:rsidRDefault="00434FDB">
      <w:pPr>
        <w:pStyle w:val="33330"/>
      </w:pPr>
      <w:r>
        <w:t>Глава 7 Предложения по строительству, реконструкции, техническому перевооружению и (или) мод</w:t>
      </w:r>
      <w:r>
        <w:t>ернизации источников тепловой энергии</w:t>
      </w:r>
    </w:p>
    <w:p w:rsidR="006E203F" w:rsidRDefault="00434FDB">
      <w:pPr>
        <w:pStyle w:val="33330"/>
      </w:pPr>
      <w:r>
        <w:t>Глава 8 Предложения по строительству, реконструкции и (или) модернизации тепловых сетей</w:t>
      </w:r>
    </w:p>
    <w:p w:rsidR="006E203F" w:rsidRDefault="00434FDB">
      <w:pPr>
        <w:pStyle w:val="33330"/>
      </w:pPr>
      <w:r>
        <w:t>Глава 9 Предложения по переводу открытых систем теплоснабжения (горячего водоснабжения) в закрытые системы горячего водоснабжения</w:t>
      </w:r>
    </w:p>
    <w:p w:rsidR="006E203F" w:rsidRDefault="00434FDB">
      <w:pPr>
        <w:pStyle w:val="33330"/>
      </w:pPr>
      <w:r>
        <w:t>Глава 10 Перспективные топливные балансы</w:t>
      </w:r>
    </w:p>
    <w:p w:rsidR="006E203F" w:rsidRDefault="00434FDB">
      <w:pPr>
        <w:pStyle w:val="33330"/>
      </w:pPr>
      <w:r>
        <w:t>Глава 11 Оценка надежности теплоснабжения</w:t>
      </w:r>
    </w:p>
    <w:p w:rsidR="006E203F" w:rsidRDefault="00434FDB">
      <w:pPr>
        <w:pStyle w:val="33330"/>
      </w:pPr>
      <w:r>
        <w:lastRenderedPageBreak/>
        <w:t>Глава 12 Обоснование инвестиций в строительство, реконструкцию, техническое перевооружение и (или) модернизацию</w:t>
      </w:r>
    </w:p>
    <w:p w:rsidR="006E203F" w:rsidRDefault="00434FDB">
      <w:pPr>
        <w:pStyle w:val="33330"/>
      </w:pPr>
      <w:r>
        <w:t>Глава 13 Индикаторы развития систем теплоснабжения</w:t>
      </w:r>
    </w:p>
    <w:p w:rsidR="006E203F" w:rsidRDefault="00434FDB">
      <w:pPr>
        <w:pStyle w:val="33330"/>
      </w:pPr>
      <w:r>
        <w:t>Глава 14 Ц</w:t>
      </w:r>
      <w:r>
        <w:t>еновые (тарифные) последствия</w:t>
      </w:r>
    </w:p>
    <w:p w:rsidR="006E203F" w:rsidRDefault="00434FDB">
      <w:pPr>
        <w:pStyle w:val="33330"/>
      </w:pPr>
      <w:r>
        <w:t>Глава 15 Реестр единых теплоснабжающих организаций</w:t>
      </w:r>
    </w:p>
    <w:p w:rsidR="006E203F" w:rsidRDefault="00434FDB">
      <w:pPr>
        <w:pStyle w:val="33330"/>
      </w:pPr>
      <w:r>
        <w:t>Глава 16 Реестр мероприятий схемы теплоснабжения</w:t>
      </w:r>
    </w:p>
    <w:p w:rsidR="006E203F" w:rsidRDefault="00434FDB">
      <w:pPr>
        <w:pStyle w:val="33330"/>
      </w:pPr>
      <w:r>
        <w:t>Глава 17 Замечания и предложения к проекту схемы теплоснабжения</w:t>
      </w:r>
    </w:p>
    <w:p w:rsidR="006E203F" w:rsidRDefault="00434FDB">
      <w:pPr>
        <w:pStyle w:val="33330"/>
      </w:pPr>
      <w:r>
        <w:t>Глава 18 Сводный том изменений, выполненных в доработанной и (</w:t>
      </w:r>
      <w:r>
        <w:t>или) актуализированной схеме теплоснабжения</w:t>
      </w:r>
    </w:p>
    <w:p w:rsidR="006E203F" w:rsidRDefault="00434FDB">
      <w:pPr>
        <w:ind w:firstLine="709"/>
      </w:pPr>
      <w:bookmarkStart w:id="5" w:name="_Toc174314647"/>
      <w:bookmarkStart w:id="6" w:name="_Toc174363496"/>
      <w:r>
        <w:t>Схема теплоснабжения (утверждаемая часть)</w:t>
      </w:r>
      <w:bookmarkEnd w:id="5"/>
      <w:bookmarkEnd w:id="6"/>
    </w:p>
    <w:p w:rsidR="006E203F" w:rsidRDefault="00434FDB">
      <w:pPr>
        <w:pStyle w:val="33330"/>
      </w:pPr>
      <w:r>
        <w:t>Раздел 1 Показатели существующего и перспективного спроса на тепловую энергию (мощность) и теплоноситель в установленных границах поселения</w:t>
      </w:r>
    </w:p>
    <w:p w:rsidR="006E203F" w:rsidRDefault="00434FDB">
      <w:pPr>
        <w:pStyle w:val="33330"/>
      </w:pPr>
      <w:r>
        <w:t xml:space="preserve">Раздел 2 Существующие и </w:t>
      </w:r>
      <w:r>
        <w:t>перспективные балансы тепловой мощности источников тепловой энергии и тепловой нагрузки потребителей</w:t>
      </w:r>
    </w:p>
    <w:p w:rsidR="006E203F" w:rsidRDefault="00434FDB">
      <w:pPr>
        <w:pStyle w:val="33330"/>
      </w:pPr>
      <w:r>
        <w:t>Раздел 3 Существующие и перспективные балансы теплоносителя</w:t>
      </w:r>
    </w:p>
    <w:p w:rsidR="006E203F" w:rsidRDefault="00434FDB">
      <w:pPr>
        <w:pStyle w:val="33330"/>
      </w:pPr>
      <w:r>
        <w:t>Раздел 4 Основные положения мастер-плана развития системы теплоснабжения</w:t>
      </w:r>
    </w:p>
    <w:p w:rsidR="006E203F" w:rsidRDefault="00434FDB">
      <w:pPr>
        <w:pStyle w:val="33330"/>
      </w:pPr>
      <w:r>
        <w:t xml:space="preserve">Раздел 5. Предложения </w:t>
      </w:r>
      <w:r>
        <w:t>по строительству, реконструкции и техническому перевооружению источников тепловой энергии</w:t>
      </w:r>
    </w:p>
    <w:p w:rsidR="006E203F" w:rsidRDefault="00434FDB">
      <w:pPr>
        <w:pStyle w:val="33330"/>
      </w:pPr>
      <w:r>
        <w:t>Раздел 6. Предложения по строительству и реконструкции тепловых сетей</w:t>
      </w:r>
    </w:p>
    <w:p w:rsidR="006E203F" w:rsidRDefault="00434FDB">
      <w:pPr>
        <w:pStyle w:val="33330"/>
      </w:pPr>
      <w:r>
        <w:t>Раздел 7 Предложения по переводу открытых систем теплоснабжения (горячего водоснабжения) в закры</w:t>
      </w:r>
      <w:r>
        <w:t>тые системы горячего водоснабжения</w:t>
      </w:r>
    </w:p>
    <w:p w:rsidR="006E203F" w:rsidRDefault="00434FDB">
      <w:pPr>
        <w:pStyle w:val="33330"/>
      </w:pPr>
      <w:r>
        <w:t>Раздел 8 Перспективные топливные балансы</w:t>
      </w:r>
    </w:p>
    <w:p w:rsidR="006E203F" w:rsidRDefault="00434FDB">
      <w:pPr>
        <w:pStyle w:val="33330"/>
      </w:pPr>
      <w:r>
        <w:t>Раздел 9 Инвестиции в строительство, реконструкцию и техническое перевооружение</w:t>
      </w:r>
    </w:p>
    <w:p w:rsidR="006E203F" w:rsidRDefault="00434FDB">
      <w:pPr>
        <w:pStyle w:val="33330"/>
      </w:pPr>
      <w:r>
        <w:t>Раздел 10 Решение об определении единой теплоснабжающей организации (организаций)</w:t>
      </w:r>
    </w:p>
    <w:p w:rsidR="006E203F" w:rsidRDefault="00434FDB">
      <w:pPr>
        <w:pStyle w:val="33330"/>
      </w:pPr>
      <w:r>
        <w:t xml:space="preserve">Раздел 11 Решения </w:t>
      </w:r>
      <w:r>
        <w:t>о распределении тепловой нагрузки между источниками тепловой энергии</w:t>
      </w:r>
    </w:p>
    <w:p w:rsidR="006E203F" w:rsidRDefault="00434FDB">
      <w:pPr>
        <w:pStyle w:val="33330"/>
      </w:pPr>
      <w:r>
        <w:t>Раздел 12 Решения по бесхозяйным тепловым сетям</w:t>
      </w:r>
    </w:p>
    <w:p w:rsidR="006E203F" w:rsidRDefault="00434FDB">
      <w:pPr>
        <w:pStyle w:val="33330"/>
      </w:pPr>
      <w:r>
        <w:t xml:space="preserve">Раздел 13 Синхронизация схемы теплоснабжения со схемой газоснабжения и газификации субъекта Российской Федерации и (или) поселения, схемой </w:t>
      </w:r>
      <w:r>
        <w:t>и программой развития электроэнергетики, а также со схемой водоснабжения и водоотведения поселения</w:t>
      </w:r>
    </w:p>
    <w:p w:rsidR="006E203F" w:rsidRDefault="00434FDB">
      <w:pPr>
        <w:pStyle w:val="33330"/>
      </w:pPr>
      <w:r>
        <w:t>Раздел 14 Индикаторы развития систем теплоснабжения поселения</w:t>
      </w:r>
    </w:p>
    <w:p w:rsidR="006E203F" w:rsidRDefault="00434FDB">
      <w:pPr>
        <w:pStyle w:val="33330"/>
      </w:pPr>
      <w:r>
        <w:t>Раздел 15 Ценовые (тарифные) последствия.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27008764"/>
        <w:docPartObj>
          <w:docPartGallery w:val="Table of Contents"/>
          <w:docPartUnique/>
        </w:docPartObj>
      </w:sdtPr>
      <w:sdtEndPr/>
      <w:sdtContent>
        <w:p w:rsidR="006E203F" w:rsidRDefault="00434FDB">
          <w:pPr>
            <w:pStyle w:val="affb"/>
            <w:spacing w:before="0" w:after="240"/>
            <w:jc w:val="center"/>
            <w:rPr>
              <w:rFonts w:ascii="Times New Roman" w:hAnsi="Times New Roman" w:cs="Times New Roman"/>
              <w:b/>
              <w:color w:val="auto"/>
              <w:sz w:val="28"/>
            </w:rPr>
          </w:pPr>
          <w:r>
            <w:br w:type="page"/>
          </w:r>
          <w:r>
            <w:rPr>
              <w:rFonts w:ascii="Times New Roman" w:hAnsi="Times New Roman" w:cs="Times New Roman"/>
              <w:b/>
              <w:color w:val="auto"/>
              <w:sz w:val="28"/>
            </w:rPr>
            <w:t>Содержание</w:t>
          </w:r>
        </w:p>
        <w:p w:rsidR="006E203F" w:rsidRDefault="00434FDB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lang w:eastAsia="ru-RU"/>
            </w:rPr>
          </w:pPr>
          <w:r>
            <w:fldChar w:fldCharType="begin"/>
          </w:r>
          <w:r>
            <w:rPr>
              <w:rStyle w:val="aff0"/>
              <w:rFonts w:ascii="Times New Roman" w:hAnsi="Times New Roman" w:cs="Times New Roman"/>
              <w:webHidden/>
              <w:sz w:val="28"/>
              <w:lang w:eastAsia="ru-RU"/>
            </w:rPr>
            <w:instrText xml:space="preserve"> TOC \z \o "1-3" \u \h</w:instrText>
          </w:r>
          <w:r>
            <w:rPr>
              <w:rStyle w:val="aff0"/>
              <w:rFonts w:ascii="Times New Roman" w:hAnsi="Times New Roman" w:cs="Times New Roman"/>
              <w:sz w:val="28"/>
              <w:lang w:eastAsia="ru-RU"/>
            </w:rPr>
            <w:fldChar w:fldCharType="separate"/>
          </w:r>
          <w:hyperlink w:anchor="_Toc174363494">
            <w:r>
              <w:rPr>
                <w:rStyle w:val="aff0"/>
                <w:rFonts w:ascii="Times New Roman" w:hAnsi="Times New Roman" w:cs="Times New Roman"/>
                <w:webHidden/>
                <w:sz w:val="28"/>
                <w:lang w:eastAsia="ru-RU"/>
              </w:rPr>
              <w:t>Состав проекта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_Toc174363494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0"/>
                <w:rFonts w:ascii="Times New Roman" w:hAnsi="Times New Roman" w:cs="Times New Roman"/>
                <w:sz w:val="28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 w:rsidR="006E203F" w:rsidRDefault="00434FDB">
          <w:pPr>
            <w:pStyle w:val="26"/>
            <w:rPr>
              <w:rFonts w:ascii="Times New Roman" w:eastAsiaTheme="minorEastAsia" w:hAnsi="Times New Roman" w:cs="Times New Roman"/>
              <w:sz w:val="28"/>
              <w:lang w:eastAsia="ru-RU"/>
            </w:rPr>
          </w:pPr>
          <w:hyperlink w:anchor="_Toc17436349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_Toc174363495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>Обосновывающие материалы к схеме теплоснабжения</w:t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 w:rsidR="006E203F" w:rsidRDefault="00434FDB">
          <w:pPr>
            <w:pStyle w:val="26"/>
            <w:rPr>
              <w:rFonts w:ascii="Times New Roman" w:eastAsiaTheme="minorEastAsia" w:hAnsi="Times New Roman" w:cs="Times New Roman"/>
              <w:sz w:val="28"/>
              <w:lang w:eastAsia="ru-RU"/>
            </w:rPr>
          </w:pPr>
          <w:hyperlink w:anchor="_Toc17436349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_Toc174363496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>Схема теплоснабжения (утверждаемая часть)</w:t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:rsidR="006E203F" w:rsidRDefault="00434FDB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lang w:eastAsia="ru-RU"/>
            </w:rPr>
          </w:pPr>
          <w:hyperlink w:anchor="_Toc17436349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_Toc174363497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>Раздел 1 Показатели существующего и перспективного спроса на тепловую энергию (мощность) и теплоноситель в установленных границах п</w:t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>оселения</w:t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 w:rsidR="006E203F" w:rsidRDefault="00434FDB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lang w:eastAsia="ru-RU"/>
            </w:rPr>
          </w:pPr>
          <w:hyperlink w:anchor="_Toc17436349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_Toc174363498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>Раздел 2 Существующие и перспективные балансы тепловой мощности источников тепловой энергии и тепловой нагрузки потре</w:t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>бителей</w:t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 w:rsidR="006E203F" w:rsidRDefault="00434FDB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lang w:eastAsia="ru-RU"/>
            </w:rPr>
          </w:pPr>
          <w:hyperlink w:anchor="_Toc17436349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_Toc174363499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>Раздел 3 Существующие и перспективные балансы теплоносителя</w:t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 w:rsidR="006E203F" w:rsidRDefault="00434FDB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lang w:eastAsia="ru-RU"/>
            </w:rPr>
          </w:pPr>
          <w:hyperlink w:anchor="_Toc17436350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_Toc174363500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>Раздел 4 Основные положения мастер-плана развития систем теплоснабжения</w:t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 w:rsidR="006E203F" w:rsidRDefault="00434FDB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lang w:eastAsia="ru-RU"/>
            </w:rPr>
          </w:pPr>
          <w:hyperlink w:anchor="_Toc17436350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</w:instrText>
            </w:r>
            <w:r>
              <w:rPr>
                <w:webHidden/>
              </w:rPr>
              <w:instrText xml:space="preserve"> _Toc174363501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>Раздел 5 Предложения по строительству, реконструкции и техническому перевооружению источников тепловой энергии</w:t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 w:rsidR="006E203F" w:rsidRDefault="00434FDB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lang w:eastAsia="ru-RU"/>
            </w:rPr>
          </w:pPr>
          <w:hyperlink w:anchor="_Toc17436350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_Toc174363502</w:instrText>
            </w:r>
            <w:r>
              <w:rPr>
                <w:webHidden/>
              </w:rPr>
              <w:instrText xml:space="preserve">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>Раздел 6 Предложения по строительству и реконструкции тепловых сетей</w:t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 w:rsidR="006E203F" w:rsidRDefault="00434FDB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lang w:eastAsia="ru-RU"/>
            </w:rPr>
          </w:pPr>
          <w:hyperlink w:anchor="_Toc17436350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_Toc174363503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 xml:space="preserve">Раздел 7 Предложения по переводу открытых систем </w:t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>теплоснабжения (горячего водоснабжения) в закрытые системы горячего водоснабжения</w:t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 w:rsidR="006E203F" w:rsidRDefault="00434FDB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lang w:eastAsia="ru-RU"/>
            </w:rPr>
          </w:pPr>
          <w:hyperlink w:anchor="_Toc17436350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_Toc174363504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>Раздел 8 Перспективные топливные балансы</w:t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 w:rsidR="006E203F" w:rsidRDefault="00434FDB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lang w:eastAsia="ru-RU"/>
            </w:rPr>
          </w:pPr>
          <w:hyperlink w:anchor="_Toc17436350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_Toc174363505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>Раздел 9 Инвестиции в строительство, реконструкцию и техническое перевооружение</w:t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 w:rsidR="006E203F" w:rsidRDefault="00434FDB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lang w:eastAsia="ru-RU"/>
            </w:rPr>
          </w:pPr>
          <w:hyperlink w:anchor="_Toc17436350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_Toc174363506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>Раздел 10 Решение об определении единой теплоснабжающей организации (организаций)</w:t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 w:rsidR="006E203F" w:rsidRDefault="00434FDB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lang w:eastAsia="ru-RU"/>
            </w:rPr>
          </w:pPr>
          <w:hyperlink w:anchor="_Toc17436350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_Toc174363507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>Раздел 11 Решения о распределении тепловой нагрузки между источниками тепловой энергии</w:t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 w:rsidR="006E203F" w:rsidRDefault="00434FDB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lang w:eastAsia="ru-RU"/>
            </w:rPr>
          </w:pPr>
          <w:hyperlink w:anchor="_Toc17436350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_Toc174363508 \</w:instrText>
            </w:r>
            <w:r>
              <w:rPr>
                <w:webHidden/>
              </w:rPr>
              <w:instrText>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>Раздел 12 Решения по бесхозяйным тепловым сетям</w:t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 w:rsidR="006E203F" w:rsidRDefault="00434FDB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lang w:eastAsia="ru-RU"/>
            </w:rPr>
          </w:pPr>
          <w:hyperlink w:anchor="_Toc17436350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_Toc174363509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>Раздел 13 Синхронизация схемы теплоснабжения со схемой газоснабжения и газифи</w:t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>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 w:rsidR="006E203F" w:rsidRDefault="00434FDB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lang w:eastAsia="ru-RU"/>
            </w:rPr>
          </w:pPr>
          <w:hyperlink w:anchor="_Toc17436351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_Toc174363510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>Раздел 14 Индикаторы развития систем теплоснабжения поселения</w:t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 w:rsidR="006E203F" w:rsidRDefault="00434FDB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lang w:eastAsia="ru-RU"/>
            </w:rPr>
          </w:pPr>
          <w:hyperlink w:anchor="_Toc17436351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_Toc174363511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>Раздел 15 Ценовые (тарифные) последствия</w:t>
            </w:r>
            <w:r>
              <w:rPr>
                <w:rStyle w:val="aff0"/>
                <w:rFonts w:ascii="Times New Roman" w:hAnsi="Times New Roman" w:cs="Times New Roman"/>
                <w:webHidden/>
                <w:sz w:val="28"/>
              </w:rPr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 w:rsidR="006E203F" w:rsidRDefault="00434FDB">
          <w:r>
            <w:fldChar w:fldCharType="end"/>
          </w:r>
        </w:p>
      </w:sdtContent>
    </w:sdt>
    <w:p w:rsidR="006E203F" w:rsidRDefault="006E203F">
      <w:pPr>
        <w:widowControl w:val="0"/>
        <w:tabs>
          <w:tab w:val="right" w:leader="dot" w:pos="96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203F" w:rsidRDefault="006E203F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6E203F" w:rsidRDefault="00434FDB">
      <w:r>
        <w:br w:type="page"/>
      </w:r>
    </w:p>
    <w:p w:rsidR="006E203F" w:rsidRDefault="00434FDB">
      <w:pPr>
        <w:pStyle w:val="12"/>
        <w:spacing w:before="0"/>
      </w:pPr>
      <w:bookmarkStart w:id="7" w:name="_Toc174363497"/>
      <w:r>
        <w:t xml:space="preserve">Раздел 1 Показатели существующего и перспективного спроса на тепловую </w:t>
      </w:r>
      <w:r>
        <w:t>энергию (мощность) и теплоноситель в установленных границах поселения</w:t>
      </w:r>
      <w:bookmarkEnd w:id="7"/>
    </w:p>
    <w:p w:rsidR="006E203F" w:rsidRDefault="00434FDB">
      <w:pPr>
        <w:pStyle w:val="33330"/>
      </w:pPr>
      <w:r>
        <w:t>В ФЗ-190 «О теплоснабжении» содержатся следующие определения:</w:t>
      </w:r>
    </w:p>
    <w:p w:rsidR="006E203F" w:rsidRDefault="00434FDB">
      <w:pPr>
        <w:pStyle w:val="33330"/>
      </w:pPr>
      <w:r>
        <w:t xml:space="preserve">     - теплоснабжение - обеспечение потребителей тепловой энергии тепловой энергией, теплоносителем, в том числе поддержание</w:t>
      </w:r>
      <w:r>
        <w:t xml:space="preserve"> мощности;</w:t>
      </w:r>
    </w:p>
    <w:p w:rsidR="006E203F" w:rsidRDefault="00434FDB">
      <w:pPr>
        <w:pStyle w:val="33330"/>
      </w:pPr>
      <w:r>
        <w:t xml:space="preserve">     - потребитель тепловой энергии -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</w:t>
      </w:r>
      <w:r>
        <w:t>льных услуг в части горячего водоснабжения и отопления.</w:t>
      </w:r>
    </w:p>
    <w:p w:rsidR="006E203F" w:rsidRDefault="00434FDB">
      <w:pPr>
        <w:pStyle w:val="33330"/>
      </w:pPr>
      <w:r>
        <w:t>В сельском поселении Ярлуковский сельсовет обеспечение потребителей тепловой энергией, теплоносителем имеет место только в одной зоне: от котельной с. Ярлуково (рисунок 1). На остальной территории пос</w:t>
      </w:r>
      <w:r>
        <w:t xml:space="preserve">еления оно отсутствует: там граждане и организации приобретают не тепловую энергию, а ресурсы для отопления, горячего водоснабжения и ведения технологического процесса. </w:t>
      </w:r>
    </w:p>
    <w:p w:rsidR="006E203F" w:rsidRDefault="00434FDB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99405" cy="4200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03F" w:rsidRDefault="00434FDB">
      <w:pPr>
        <w:pStyle w:val="afa"/>
      </w:pPr>
      <w:r>
        <w:rPr>
          <w:sz w:val="24"/>
          <w:szCs w:val="24"/>
        </w:rPr>
        <w:t>Рисунок 1 – Зона теплоснабжения котельной, с. Ярлуково</w:t>
      </w:r>
    </w:p>
    <w:p w:rsidR="006E203F" w:rsidRDefault="00434FDB">
      <w:pPr>
        <w:pStyle w:val="33330"/>
      </w:pPr>
      <w:r>
        <w:t>В сельских поселениях уже много лет наблюдается тенденция к ограничению масштабов централизованного теплоснабжения и к ликвидации его отдельных систем (СЦТ). Выводятся из эксплуатации устаревшие котельные и тепловые сети, а потребители устанавливают у себя</w:t>
      </w:r>
      <w:r>
        <w:t xml:space="preserve"> индивидуальные теплогенерирующие установки, в т.ч. и в многоквартирных жилых домах. Причина этого очевидна: на территориях с низкой плотностью тепловых нагрузок СЦТ экономически неэффективны. Работающие в них теплоснабжающие организации могут быть безубыт</w:t>
      </w:r>
      <w:r>
        <w:t xml:space="preserve">очны только при тарифах гораздо более высоких, чем они устанавливаются в настоящее время. </w:t>
      </w:r>
    </w:p>
    <w:p w:rsidR="006E203F" w:rsidRDefault="00434FDB">
      <w:pPr>
        <w:pStyle w:val="33330"/>
      </w:pPr>
      <w:r>
        <w:t xml:space="preserve">Централизованное теплоснабжение в с. Ярлуково осуществляется от котельной, до 28.04.2023г. находившейся, как и отходящие от неё тепловые сети, в аренде у филиала АО </w:t>
      </w:r>
      <w:r>
        <w:t>"Квадра" - "Липецкая генерация". С 28.04.2023г. договоры аренды были расторгнуты, котельная и тепловые сети, принятые ранее в муниципальную собственность поселения, переданы в эксплуатацию МУП «ТК-Грязи». Таким образом, МУП «ТК-Грязи» с 28.04.2023г. являет</w:t>
      </w:r>
      <w:r>
        <w:t>ся теплоснабжающей организацией в СЦТ с. Ярлуково, эксплуатирующее как источник тепловой энергии, так и тепловые сети. Основные показатели зоны теплоснабжения котельной с. Ярлуково представлены в таблице 1.1.</w:t>
      </w:r>
    </w:p>
    <w:p w:rsidR="006E203F" w:rsidRDefault="00434FDB">
      <w:pPr>
        <w:pStyle w:val="af8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Таблица 1.1 - Зоны действия источника тепловой </w:t>
      </w:r>
      <w:r>
        <w:rPr>
          <w:sz w:val="24"/>
          <w:szCs w:val="24"/>
        </w:rPr>
        <w:t>энергии котельной с. Ярлуково</w:t>
      </w:r>
    </w:p>
    <w:tbl>
      <w:tblPr>
        <w:tblStyle w:val="affd"/>
        <w:tblW w:w="5000" w:type="pct"/>
        <w:tblLayout w:type="fixed"/>
        <w:tblLook w:val="04A0" w:firstRow="1" w:lastRow="0" w:firstColumn="1" w:lastColumn="0" w:noHBand="0" w:noVBand="1"/>
      </w:tblPr>
      <w:tblGrid>
        <w:gridCol w:w="1124"/>
        <w:gridCol w:w="1384"/>
        <w:gridCol w:w="1163"/>
        <w:gridCol w:w="1149"/>
        <w:gridCol w:w="753"/>
        <w:gridCol w:w="790"/>
        <w:gridCol w:w="878"/>
        <w:gridCol w:w="1261"/>
        <w:gridCol w:w="1069"/>
      </w:tblGrid>
      <w:tr w:rsidR="006E203F">
        <w:trPr>
          <w:trHeight w:val="20"/>
        </w:trPr>
        <w:tc>
          <w:tcPr>
            <w:tcW w:w="1098" w:type="dxa"/>
            <w:vAlign w:val="center"/>
          </w:tcPr>
          <w:p w:rsidR="006E203F" w:rsidRDefault="00434FD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Наименование зоны</w:t>
            </w:r>
          </w:p>
        </w:tc>
        <w:tc>
          <w:tcPr>
            <w:tcW w:w="1353" w:type="dxa"/>
            <w:vAlign w:val="center"/>
          </w:tcPr>
          <w:p w:rsidR="006E203F" w:rsidRDefault="00434FD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Теплоснабжающая организация</w:t>
            </w:r>
          </w:p>
        </w:tc>
        <w:tc>
          <w:tcPr>
            <w:tcW w:w="1137" w:type="dxa"/>
            <w:vAlign w:val="center"/>
          </w:tcPr>
          <w:p w:rsidR="006E203F" w:rsidRDefault="00434FD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Установленная мощность источника, Гкал/ч</w:t>
            </w:r>
          </w:p>
        </w:tc>
        <w:tc>
          <w:tcPr>
            <w:tcW w:w="1123" w:type="dxa"/>
            <w:vAlign w:val="center"/>
          </w:tcPr>
          <w:p w:rsidR="006E203F" w:rsidRDefault="00434FD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Подключенная договорная нагрузка, Гкал/ч</w:t>
            </w:r>
          </w:p>
        </w:tc>
        <w:tc>
          <w:tcPr>
            <w:tcW w:w="736" w:type="dxa"/>
            <w:vAlign w:val="center"/>
          </w:tcPr>
          <w:p w:rsidR="006E203F" w:rsidRDefault="00434FD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Система ГВС</w:t>
            </w:r>
          </w:p>
        </w:tc>
        <w:tc>
          <w:tcPr>
            <w:tcW w:w="772" w:type="dxa"/>
            <w:vAlign w:val="center"/>
          </w:tcPr>
          <w:p w:rsidR="006E203F" w:rsidRDefault="00434FD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Площадь зоны, га</w:t>
            </w:r>
          </w:p>
        </w:tc>
        <w:tc>
          <w:tcPr>
            <w:tcW w:w="858" w:type="dxa"/>
            <w:vAlign w:val="center"/>
          </w:tcPr>
          <w:p w:rsidR="006E203F" w:rsidRDefault="00434FD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Плотность нагрузок, Гкал/ч / га</w:t>
            </w:r>
          </w:p>
        </w:tc>
        <w:tc>
          <w:tcPr>
            <w:tcW w:w="1232" w:type="dxa"/>
            <w:vAlign w:val="center"/>
          </w:tcPr>
          <w:p w:rsidR="006E203F" w:rsidRDefault="00434FD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Радиус эффективного теплоснабжения, м</w:t>
            </w:r>
          </w:p>
        </w:tc>
        <w:tc>
          <w:tcPr>
            <w:tcW w:w="1045" w:type="dxa"/>
            <w:vAlign w:val="center"/>
          </w:tcPr>
          <w:p w:rsidR="006E203F" w:rsidRDefault="00434FD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Убыток от эксплуатации в 2023г., тыс. руб.</w:t>
            </w:r>
          </w:p>
        </w:tc>
      </w:tr>
      <w:tr w:rsidR="006E203F">
        <w:trPr>
          <w:trHeight w:val="20"/>
        </w:trPr>
        <w:tc>
          <w:tcPr>
            <w:tcW w:w="1098" w:type="dxa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Ярлуково</w:t>
            </w:r>
          </w:p>
        </w:tc>
        <w:tc>
          <w:tcPr>
            <w:tcW w:w="1353" w:type="dxa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МУП "ТК-Грязи"</w:t>
            </w:r>
          </w:p>
        </w:tc>
        <w:tc>
          <w:tcPr>
            <w:tcW w:w="1137" w:type="dxa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2,58</w:t>
            </w:r>
          </w:p>
        </w:tc>
        <w:tc>
          <w:tcPr>
            <w:tcW w:w="1123" w:type="dxa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1,68</w:t>
            </w:r>
          </w:p>
        </w:tc>
        <w:tc>
          <w:tcPr>
            <w:tcW w:w="736" w:type="dxa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Закрытая</w:t>
            </w:r>
          </w:p>
        </w:tc>
        <w:tc>
          <w:tcPr>
            <w:tcW w:w="772" w:type="dxa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5,64</w:t>
            </w:r>
          </w:p>
        </w:tc>
        <w:tc>
          <w:tcPr>
            <w:tcW w:w="858" w:type="dxa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0,300</w:t>
            </w:r>
          </w:p>
        </w:tc>
        <w:tc>
          <w:tcPr>
            <w:tcW w:w="1232" w:type="dxa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247</w:t>
            </w:r>
          </w:p>
        </w:tc>
        <w:tc>
          <w:tcPr>
            <w:tcW w:w="1045" w:type="dxa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4,192</w:t>
            </w:r>
          </w:p>
        </w:tc>
      </w:tr>
    </w:tbl>
    <w:p w:rsidR="006E203F" w:rsidRDefault="00434FDB">
      <w:pPr>
        <w:pStyle w:val="33330"/>
      </w:pPr>
      <w:r>
        <w:t xml:space="preserve">Генеральным планом сельского поселения Ярлуковский сельсовет увеличения спроса на тепловую энергию (мощность) не предусматривается.  Намечаемые к </w:t>
      </w:r>
      <w:r>
        <w:t>строительству жилые дома и объекты социального назначения предполагается, очевидно, оснастить индивидуальными источниками теплоснабжения. Поэтому рассмотрение существующего и перспективного спроса на тепловую энергию ограничивается только имеющейся СЦТ. Ро</w:t>
      </w:r>
      <w:r>
        <w:t>ст потребления в ней не прогнозируется, скорее, он может снизиться, прежде всего из-за проведения потребителями мероприятий по энергосбережению.</w:t>
      </w:r>
    </w:p>
    <w:p w:rsidR="006E203F" w:rsidRDefault="00434FDB">
      <w:pPr>
        <w:pStyle w:val="33330"/>
        <w:sectPr w:rsidR="006E203F">
          <w:footerReference w:type="even" r:id="rId9"/>
          <w:footerReference w:type="default" r:id="rId10"/>
          <w:footerReference w:type="first" r:id="rId11"/>
          <w:pgSz w:w="11906" w:h="16838"/>
          <w:pgMar w:top="1134" w:right="850" w:bottom="1134" w:left="1701" w:header="0" w:footer="708" w:gutter="0"/>
          <w:cols w:space="720"/>
          <w:formProt w:val="0"/>
          <w:titlePg/>
          <w:docGrid w:linePitch="360" w:charSpace="4096"/>
        </w:sectPr>
      </w:pPr>
      <w:r>
        <w:t xml:space="preserve">Прогнозные объёмы потребления тепловой энергии от котельной с. Ярлуково представлены в таблице 1.2. </w:t>
      </w:r>
      <w:r>
        <w:br w:type="page"/>
      </w:r>
    </w:p>
    <w:p w:rsidR="006E203F" w:rsidRDefault="00434FDB">
      <w:pPr>
        <w:pStyle w:val="af8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Таблица 1.2 - Объёмы и структура потребления тепловой энергии в системе теплоснабжения с. Ярлуково, Гкал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63"/>
        <w:gridCol w:w="563"/>
        <w:gridCol w:w="563"/>
        <w:gridCol w:w="562"/>
        <w:gridCol w:w="563"/>
        <w:gridCol w:w="564"/>
        <w:gridCol w:w="561"/>
        <w:gridCol w:w="561"/>
        <w:gridCol w:w="565"/>
        <w:gridCol w:w="560"/>
        <w:gridCol w:w="558"/>
        <w:gridCol w:w="562"/>
        <w:gridCol w:w="560"/>
        <w:gridCol w:w="562"/>
        <w:gridCol w:w="560"/>
        <w:gridCol w:w="560"/>
        <w:gridCol w:w="561"/>
        <w:gridCol w:w="560"/>
        <w:gridCol w:w="562"/>
        <w:gridCol w:w="560"/>
        <w:gridCol w:w="560"/>
        <w:gridCol w:w="562"/>
        <w:gridCol w:w="560"/>
        <w:gridCol w:w="560"/>
        <w:gridCol w:w="560"/>
        <w:gridCol w:w="554"/>
      </w:tblGrid>
      <w:tr w:rsidR="006E203F">
        <w:trPr>
          <w:trHeight w:val="28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Показатель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2039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2040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2041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2042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2043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2044</w:t>
            </w:r>
          </w:p>
        </w:tc>
      </w:tr>
      <w:tr w:rsidR="006E203F">
        <w:trPr>
          <w:trHeight w:val="576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Потребление всего, в т.ч.: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3 263,19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3 581,62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3 301,29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3 146,12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3 146,12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3 146,12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3 146,12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3 146,12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3 146,12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3 146,12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3 146,12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3 146,12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3 146,12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3 146,12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3 146,12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3 146,12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3 146,12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3 146,12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3 146,12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3 146,12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3 146,12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3 146,12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3 146,12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3 146,12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3 146,12</w:t>
            </w:r>
          </w:p>
        </w:tc>
      </w:tr>
      <w:tr w:rsidR="006E203F">
        <w:trPr>
          <w:trHeight w:val="288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 население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2 510,17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2 654,12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2 418,36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2 308,32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2 308,32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2 308,32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2 308,32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2 308,32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2 308,32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2 308,32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2 308,32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2 308,32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2 308,32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2 308,32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308,32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2 308,32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2 308,32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2 308,32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2 308,32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2 308,32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2 308,32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2 308,32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2 308,32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2 308,32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2 308,32</w:t>
            </w:r>
          </w:p>
        </w:tc>
      </w:tr>
      <w:tr w:rsidR="006E203F">
        <w:trPr>
          <w:trHeight w:val="288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 прочие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753,02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927,5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882,92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837,8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837,8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837,8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837,8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837,8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837,8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837,8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837,8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837,8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837,8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837,8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837,8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837,8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837,8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837,8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837,8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837,8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837,8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837,8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837,8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837,8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837,8</w:t>
            </w:r>
          </w:p>
        </w:tc>
      </w:tr>
    </w:tbl>
    <w:p w:rsidR="006E203F" w:rsidRDefault="00434FDB">
      <w:pPr>
        <w:sectPr w:rsidR="006E203F">
          <w:footerReference w:type="even" r:id="rId12"/>
          <w:footerReference w:type="default" r:id="rId13"/>
          <w:footerReference w:type="first" r:id="rId14"/>
          <w:pgSz w:w="16838" w:h="11906" w:orient="landscape"/>
          <w:pgMar w:top="1701" w:right="1134" w:bottom="851" w:left="1134" w:header="0" w:footer="709" w:gutter="0"/>
          <w:cols w:space="720"/>
          <w:formProt w:val="0"/>
          <w:docGrid w:linePitch="360" w:charSpace="4096"/>
        </w:sectPr>
      </w:pPr>
      <w:r>
        <w:br w:type="page"/>
      </w:r>
    </w:p>
    <w:p w:rsidR="006E203F" w:rsidRDefault="00434FDB">
      <w:pPr>
        <w:pStyle w:val="12"/>
        <w:spacing w:before="0"/>
      </w:pPr>
      <w:bookmarkStart w:id="8" w:name="_Toc174363498"/>
      <w:r>
        <w:t>Раздел 2 Существующие и перспективные балансы тепловой мощности источников тепловой энергии и тепловой нагрузки потребителей</w:t>
      </w:r>
      <w:bookmarkEnd w:id="8"/>
    </w:p>
    <w:p w:rsidR="006E203F" w:rsidRDefault="00434FDB">
      <w:pPr>
        <w:pStyle w:val="33330"/>
      </w:pPr>
      <w:r>
        <w:t xml:space="preserve">«Требования к </w:t>
      </w:r>
      <w:r>
        <w:t>схемам теплоснабжения», утверждённые ПП РФ от 22.02.2012г. №154, предусматривают определение расчётных нагрузок.</w:t>
      </w:r>
    </w:p>
    <w:p w:rsidR="006E203F" w:rsidRDefault="00434FDB">
      <w:pPr>
        <w:pStyle w:val="33330"/>
      </w:pPr>
      <w:r>
        <w:t>В данной работе определение расчётных тепловых нагрузок осуществлялось по суточным расходам природного газа с последующим пересчётом на часовые</w:t>
      </w:r>
      <w:r>
        <w:t xml:space="preserve"> расходы с учётом коэффициентов полезного действия котельных. Калорийность газа принималась по данным МУП «ТК-Грязи»: январь – 8,309 Гкал/м³, февраль и март – 8,307, октябрь – 8,317, ноябрь – 8,321 и декабрь – 8,300. </w:t>
      </w:r>
    </w:p>
    <w:p w:rsidR="006E203F" w:rsidRDefault="00434FDB">
      <w:pPr>
        <w:pStyle w:val="33330"/>
      </w:pPr>
      <w:r>
        <w:t xml:space="preserve">Определение расчётных нагрузок </w:t>
      </w:r>
      <w:r>
        <w:t>проводилось методом линейной аппроксимации в программе Microsoft Excel. Уравнения регрессии, коэффициенты детерминации и расчётные нагрузки для каждого источника представлены в таблице 1.5.2. Расчётная нагрузка определяется при t°= - 25°С, которая по СП 13</w:t>
      </w:r>
      <w:r>
        <w:t>1.13330.2020 «СНиП 23-01-99 Строительная климатология» для Липецкой области установлена в качестве расчётной для систем теплоснабжения.</w:t>
      </w:r>
    </w:p>
    <w:p w:rsidR="006E203F" w:rsidRDefault="00434FDB">
      <w:pPr>
        <w:pStyle w:val="af8"/>
        <w:ind w:firstLine="0"/>
        <w:rPr>
          <w:sz w:val="24"/>
          <w:szCs w:val="24"/>
        </w:rPr>
      </w:pPr>
      <w:r>
        <w:rPr>
          <w:sz w:val="24"/>
          <w:szCs w:val="24"/>
        </w:rPr>
        <w:t>Таблица 2.1. - Расчётная нагрузка на коллекторах котельной, с. Ярлуково при t° = - 25°С в 2023г., Гкал/ч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09"/>
        <w:gridCol w:w="3621"/>
        <w:gridCol w:w="3040"/>
      </w:tblGrid>
      <w:tr w:rsidR="006E203F">
        <w:trPr>
          <w:trHeight w:val="612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Уравнение регре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ссии, Гкал/ч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Расчётная нагрузка при t° = - 25°С, Гкал/ч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Коэффициент детерминации R²</w:t>
            </w:r>
          </w:p>
        </w:tc>
      </w:tr>
      <w:tr w:rsidR="006E203F">
        <w:trPr>
          <w:trHeight w:val="288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N = - 0,0213t° + 0,949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1,48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0,8359</w:t>
            </w:r>
          </w:p>
        </w:tc>
      </w:tr>
    </w:tbl>
    <w:p w:rsidR="006E203F" w:rsidRDefault="00434FDB">
      <w:pPr>
        <w:pStyle w:val="33330"/>
      </w:pPr>
      <w:r>
        <w:t>Высокое значение коэффициента детерминации указывает на высокую достоверность полученного уравнения регрессии.</w:t>
      </w:r>
    </w:p>
    <w:p w:rsidR="006E203F" w:rsidRDefault="00434FDB">
      <w:pPr>
        <w:pStyle w:val="33330"/>
      </w:pPr>
      <w:r>
        <w:t xml:space="preserve">Сравнение величин </w:t>
      </w:r>
      <w:r>
        <w:t>договорной и расчетной тепловой нагрузок по зоне действия каждого источника тепловой энергии приведено в таблице 1.5.3.</w:t>
      </w:r>
    </w:p>
    <w:p w:rsidR="006E203F" w:rsidRDefault="00434FDB">
      <w:pPr>
        <w:pStyle w:val="af8"/>
        <w:ind w:firstLine="0"/>
        <w:rPr>
          <w:sz w:val="24"/>
          <w:szCs w:val="24"/>
        </w:rPr>
      </w:pPr>
      <w:r>
        <w:rPr>
          <w:sz w:val="24"/>
          <w:szCs w:val="24"/>
        </w:rPr>
        <w:t>Таблица 2.2 - Договорная и расчетная нагрузки в системе теплоснабжения котельной с. Ярлуково</w:t>
      </w: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71"/>
        <w:gridCol w:w="3555"/>
        <w:gridCol w:w="2988"/>
      </w:tblGrid>
      <w:tr w:rsidR="006E203F">
        <w:trPr>
          <w:trHeight w:val="581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Договорная нагрузка, Гкал/ч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Расчётная нагру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зка, Гкал/ч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Расчётная нагрузка к договорной, %</w:t>
            </w:r>
          </w:p>
        </w:tc>
      </w:tr>
      <w:tr w:rsidR="006E203F">
        <w:trPr>
          <w:trHeight w:val="290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1,48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</w:tr>
    </w:tbl>
    <w:p w:rsidR="006E203F" w:rsidRDefault="00434FDB">
      <w:pPr>
        <w:pStyle w:val="33330"/>
      </w:pPr>
      <w:r>
        <w:t xml:space="preserve">При сравнении договорной и расчётной нагрузок необходимо иметь в виду следующее. Договорная нагрузка определяется на тепловом пункте потребителя, а расчётная – на коллекторах котельной. </w:t>
      </w:r>
      <w:r>
        <w:t>Следовательно, расчётная нагрузка включает в себя потери в тепловых сетях, а договорная – нет. Таким образом, расчётная нагрузка заведомо завышена по сравнению с договорной, это завышение численно равно потерям тепловой мощности в сетях. При приведении эти</w:t>
      </w:r>
      <w:r>
        <w:t>х нагрузок к одной точке разница между ними будет ещё большей.</w:t>
      </w:r>
    </w:p>
    <w:p w:rsidR="006E203F" w:rsidRDefault="00434FDB">
      <w:pPr>
        <w:pStyle w:val="33330"/>
        <w:sectPr w:rsidR="006E203F">
          <w:footerReference w:type="even" r:id="rId15"/>
          <w:footerReference w:type="default" r:id="rId16"/>
          <w:footerReference w:type="first" r:id="rId17"/>
          <w:pgSz w:w="11906" w:h="16838"/>
          <w:pgMar w:top="1134" w:right="851" w:bottom="1134" w:left="1701" w:header="0" w:footer="709" w:gutter="0"/>
          <w:cols w:space="720"/>
          <w:formProt w:val="0"/>
          <w:docGrid w:linePitch="360" w:charSpace="4096"/>
        </w:sectPr>
      </w:pPr>
      <w:r>
        <w:t>Перспективные балансы тепловой мощности котельной с. Ярлуково и нагрузок потребителей (договорных и расчётных) представлены в таблице 2.3.</w:t>
      </w:r>
      <w:r>
        <w:br w:type="page"/>
      </w:r>
    </w:p>
    <w:p w:rsidR="006E203F" w:rsidRDefault="00434FDB">
      <w:pPr>
        <w:pStyle w:val="33330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2.3 - Перспективные балансы тепловой мощности котельной с. Ярлуково и нагрузок потребителей, Гкал/ч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62"/>
        <w:gridCol w:w="505"/>
        <w:gridCol w:w="504"/>
        <w:gridCol w:w="505"/>
        <w:gridCol w:w="504"/>
        <w:gridCol w:w="506"/>
        <w:gridCol w:w="505"/>
        <w:gridCol w:w="504"/>
        <w:gridCol w:w="504"/>
        <w:gridCol w:w="505"/>
        <w:gridCol w:w="506"/>
        <w:gridCol w:w="506"/>
        <w:gridCol w:w="507"/>
        <w:gridCol w:w="507"/>
        <w:gridCol w:w="507"/>
        <w:gridCol w:w="506"/>
        <w:gridCol w:w="505"/>
        <w:gridCol w:w="508"/>
        <w:gridCol w:w="506"/>
        <w:gridCol w:w="506"/>
        <w:gridCol w:w="506"/>
        <w:gridCol w:w="507"/>
        <w:gridCol w:w="506"/>
        <w:gridCol w:w="499"/>
      </w:tblGrid>
      <w:tr w:rsidR="006E203F">
        <w:trPr>
          <w:trHeight w:val="28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Показатель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2039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2040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2041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2042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2043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2044</w:t>
            </w:r>
          </w:p>
        </w:tc>
      </w:tr>
      <w:tr w:rsidR="006E203F">
        <w:trPr>
          <w:trHeight w:val="28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Установленная тепловая мощность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</w:tr>
      <w:tr w:rsidR="006E203F">
        <w:trPr>
          <w:trHeight w:val="28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Тепловая мощность нетто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2,52</w:t>
            </w:r>
          </w:p>
        </w:tc>
      </w:tr>
      <w:tr w:rsidR="006E203F">
        <w:trPr>
          <w:trHeight w:val="28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Затраты мощности на собственные нужды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0,06</w:t>
            </w:r>
          </w:p>
        </w:tc>
      </w:tr>
      <w:tr w:rsidR="006E203F">
        <w:trPr>
          <w:trHeight w:val="28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Потери в тепловых сетях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0,056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0,056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0,056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0,056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0,056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0,056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0,056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0,056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0,056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0,056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0,056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0,056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0,056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0,056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0,056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0,056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0,056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0,056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0,056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0,056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0,056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0,056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0,056</w:t>
            </w:r>
          </w:p>
        </w:tc>
      </w:tr>
      <w:tr w:rsidR="006E203F">
        <w:trPr>
          <w:trHeight w:val="28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Расчетная нагрузка на коллекторах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</w:tr>
      <w:tr w:rsidR="006E203F">
        <w:trPr>
          <w:trHeight w:val="28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Присоединенная договорная тепловая нагрузка, в т.ч.: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</w:tr>
      <w:tr w:rsidR="006E203F">
        <w:trPr>
          <w:trHeight w:val="28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- отопление и вентиляция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1,51</w:t>
            </w:r>
          </w:p>
        </w:tc>
      </w:tr>
      <w:tr w:rsidR="006E203F">
        <w:trPr>
          <w:trHeight w:val="28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- горячее водоснабжение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0,16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0,16</w:t>
            </w:r>
          </w:p>
        </w:tc>
      </w:tr>
      <w:tr w:rsidR="006E203F">
        <w:trPr>
          <w:trHeight w:val="28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Резерв/дефицит тепловой мощности нетто по расчётной нагрузке на коллекторах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1,04</w:t>
            </w:r>
          </w:p>
        </w:tc>
      </w:tr>
    </w:tbl>
    <w:p w:rsidR="006E203F" w:rsidRDefault="00434FDB">
      <w:pPr>
        <w:sectPr w:rsidR="006E203F">
          <w:footerReference w:type="even" r:id="rId18"/>
          <w:footerReference w:type="default" r:id="rId19"/>
          <w:footerReference w:type="first" r:id="rId20"/>
          <w:pgSz w:w="16838" w:h="11906" w:orient="landscape"/>
          <w:pgMar w:top="1701" w:right="1134" w:bottom="851" w:left="1134" w:header="0" w:footer="709" w:gutter="0"/>
          <w:cols w:space="720"/>
          <w:formProt w:val="0"/>
          <w:docGrid w:linePitch="360" w:charSpace="4096"/>
        </w:sectPr>
      </w:pPr>
      <w:r>
        <w:br w:type="page"/>
      </w:r>
    </w:p>
    <w:p w:rsidR="006E203F" w:rsidRDefault="00434FDB">
      <w:pPr>
        <w:pStyle w:val="33330"/>
      </w:pPr>
      <w:r>
        <w:t xml:space="preserve">Из представленных сведений следует, что котельная, с. Ярлуково обладает значительным запасом тепловых мощностей. </w:t>
      </w:r>
    </w:p>
    <w:p w:rsidR="006E203F" w:rsidRDefault="00434FDB">
      <w:pPr>
        <w:pStyle w:val="12"/>
      </w:pPr>
      <w:bookmarkStart w:id="9" w:name="_Toc174363499"/>
      <w:r>
        <w:t>Раздел 3 Существующие и перспективные балансы теплоносителя</w:t>
      </w:r>
      <w:bookmarkEnd w:id="9"/>
    </w:p>
    <w:p w:rsidR="006E203F" w:rsidRDefault="00434FDB">
      <w:pPr>
        <w:pStyle w:val="33330"/>
        <w:sectPr w:rsidR="006E203F">
          <w:footerReference w:type="even" r:id="rId21"/>
          <w:footerReference w:type="default" r:id="rId22"/>
          <w:footerReference w:type="first" r:id="rId23"/>
          <w:pgSz w:w="11906" w:h="16838"/>
          <w:pgMar w:top="1134" w:right="851" w:bottom="1134" w:left="1701" w:header="0" w:footer="709" w:gutter="0"/>
          <w:cols w:space="720"/>
          <w:formProt w:val="0"/>
          <w:docGrid w:linePitch="360" w:charSpace="4096"/>
        </w:sectPr>
      </w:pPr>
      <w:r>
        <w:t xml:space="preserve">Существующие и перспективные расходы теплоносителя на компенсацию потерь и отпуск на цели ГВС приведены в таблице 3.1. </w:t>
      </w:r>
      <w:r>
        <w:br w:type="page"/>
      </w:r>
    </w:p>
    <w:p w:rsidR="006E203F" w:rsidRDefault="00434FDB">
      <w:pPr>
        <w:pStyle w:val="3333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Таблица 3.1. - Существующие и перспективные расходы теплоносителя в системе теплоснабжени</w:t>
      </w:r>
      <w:r>
        <w:rPr>
          <w:rFonts w:asciiTheme="minorHAnsi" w:hAnsiTheme="minorHAnsi" w:cstheme="minorBidi"/>
          <w:sz w:val="24"/>
          <w:szCs w:val="24"/>
        </w:rPr>
        <w:t>я с.</w:t>
      </w:r>
      <w:r>
        <w:rPr>
          <w:rFonts w:asciiTheme="minorHAnsi" w:hAnsiTheme="minorHAnsi" w:cstheme="minorBidi"/>
          <w:sz w:val="24"/>
          <w:szCs w:val="24"/>
        </w:rPr>
        <w:t xml:space="preserve"> Ярлуково, м³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42"/>
        <w:gridCol w:w="538"/>
        <w:gridCol w:w="540"/>
        <w:gridCol w:w="540"/>
        <w:gridCol w:w="502"/>
        <w:gridCol w:w="540"/>
        <w:gridCol w:w="541"/>
        <w:gridCol w:w="537"/>
        <w:gridCol w:w="541"/>
        <w:gridCol w:w="540"/>
        <w:gridCol w:w="540"/>
        <w:gridCol w:w="538"/>
        <w:gridCol w:w="540"/>
        <w:gridCol w:w="540"/>
        <w:gridCol w:w="538"/>
        <w:gridCol w:w="542"/>
        <w:gridCol w:w="539"/>
        <w:gridCol w:w="539"/>
        <w:gridCol w:w="540"/>
        <w:gridCol w:w="538"/>
        <w:gridCol w:w="541"/>
        <w:gridCol w:w="539"/>
        <w:gridCol w:w="539"/>
        <w:gridCol w:w="540"/>
        <w:gridCol w:w="539"/>
        <w:gridCol w:w="533"/>
      </w:tblGrid>
      <w:tr w:rsidR="006E203F">
        <w:trPr>
          <w:trHeight w:val="312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Показатель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2040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2041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2042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2043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2044</w:t>
            </w:r>
          </w:p>
        </w:tc>
      </w:tr>
      <w:tr w:rsidR="006E203F">
        <w:trPr>
          <w:trHeight w:val="624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 подпитка тепловой сети, в том числе: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6 381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5 753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5 833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н.д.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5 833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5 833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5 833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5 833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5 833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5 833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5 833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5 833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5 833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5 833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5 833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5 833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5 833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5 833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5 833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5 833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5 833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5 833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5 833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5 833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5 833</w:t>
            </w:r>
          </w:p>
        </w:tc>
      </w:tr>
      <w:tr w:rsidR="006E203F">
        <w:trPr>
          <w:trHeight w:val="660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- на компенсацию утечек в тепловой сети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н.д.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</w:tr>
      <w:tr w:rsidR="006E203F">
        <w:trPr>
          <w:trHeight w:val="660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- отпуск теплоносителя из тепловых сетей на цели ГВС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5 779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5 711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5 794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н.д.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5 794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5 794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5 794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5 794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5 794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5 794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5 794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5 794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5 794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5 794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5 794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5 794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5 794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5 794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5 794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5 794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5 794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5 794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5 794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5 794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5 794</w:t>
            </w:r>
          </w:p>
        </w:tc>
      </w:tr>
    </w:tbl>
    <w:p w:rsidR="006E203F" w:rsidRDefault="00434FDB">
      <w:pPr>
        <w:sectPr w:rsidR="006E203F">
          <w:footerReference w:type="even" r:id="rId24"/>
          <w:footerReference w:type="default" r:id="rId25"/>
          <w:footerReference w:type="first" r:id="rId26"/>
          <w:pgSz w:w="16838" w:h="11906" w:orient="landscape"/>
          <w:pgMar w:top="1701" w:right="1134" w:bottom="851" w:left="1134" w:header="0" w:footer="709" w:gutter="0"/>
          <w:cols w:space="720"/>
          <w:formProt w:val="0"/>
          <w:docGrid w:linePitch="360" w:charSpace="4096"/>
        </w:sectPr>
      </w:pPr>
      <w:r>
        <w:br w:type="page"/>
      </w:r>
    </w:p>
    <w:p w:rsidR="006E203F" w:rsidRDefault="00434FDB">
      <w:pPr>
        <w:pStyle w:val="33330"/>
        <w:rPr>
          <w:rFonts w:ascii="Arial" w:hAnsi="Arial" w:cs="Arial"/>
        </w:rPr>
      </w:pPr>
      <w:r>
        <w:t xml:space="preserve">Анализ данных таблицы 3 показывает, что объём подаваемого в сеть теплоносителя достаточен для компенсации утечек в тепловой сети и его расхода на ГВС. </w:t>
      </w:r>
    </w:p>
    <w:p w:rsidR="006E203F" w:rsidRDefault="00434FDB">
      <w:pPr>
        <w:pStyle w:val="12"/>
      </w:pPr>
      <w:bookmarkStart w:id="10" w:name="_Toc174363500"/>
      <w:r>
        <w:t>Раздел 4 Основные положения мастер-плана развития систем теплоснабжения</w:t>
      </w:r>
      <w:bookmarkEnd w:id="10"/>
    </w:p>
    <w:p w:rsidR="006E203F" w:rsidRDefault="00434FDB">
      <w:pPr>
        <w:pStyle w:val="33330"/>
      </w:pPr>
      <w:r>
        <w:t xml:space="preserve">Экономические показатели работы </w:t>
      </w:r>
      <w:r>
        <w:t>системы теплоснабжения с. Ярлуково удовлетворительными считать нельзя: котельная являются убыточной. В ситуации, когда убытки предприятия приходится покрывать из местного бюджета, на первый план выходит работа по снижению затрат. Для составления плана дейс</w:t>
      </w:r>
      <w:r>
        <w:t>твий необходимо провести сопоставление результатов (полезный отпуск тепловой энергии с коллекторов котельной) и затрат (размер убытков), а также проанализировать структуру затрат. Результаты сопоставления за 2023г. приведены в таблицах 4.1. и 4.2.</w:t>
      </w:r>
    </w:p>
    <w:p w:rsidR="006E203F" w:rsidRDefault="00434FDB">
      <w:pPr>
        <w:pStyle w:val="af8"/>
        <w:ind w:firstLine="0"/>
        <w:rPr>
          <w:sz w:val="24"/>
          <w:szCs w:val="24"/>
        </w:rPr>
      </w:pPr>
      <w:r>
        <w:t xml:space="preserve">Таблица </w:t>
      </w:r>
      <w:r>
        <w:t xml:space="preserve">4.1. - Экономическая эффективность теплоснабжения с. Ярлуково в </w:t>
      </w:r>
      <w:r>
        <w:rPr>
          <w:sz w:val="24"/>
          <w:szCs w:val="24"/>
        </w:rPr>
        <w:t>2023г.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43"/>
        <w:gridCol w:w="1646"/>
        <w:gridCol w:w="1501"/>
        <w:gridCol w:w="1630"/>
        <w:gridCol w:w="1714"/>
        <w:gridCol w:w="1636"/>
      </w:tblGrid>
      <w:tr w:rsidR="006E203F">
        <w:trPr>
          <w:trHeight w:val="2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Год</w:t>
            </w: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Выручка, тыс. руб.</w:t>
            </w:r>
          </w:p>
        </w:tc>
        <w:tc>
          <w:tcPr>
            <w:tcW w:w="14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Убытки, тыс. руб.</w:t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Убытки на 1 руб. выручки, руб.</w:t>
            </w:r>
          </w:p>
        </w:tc>
        <w:tc>
          <w:tcPr>
            <w:tcW w:w="1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Полезный отпуск, Гкал</w:t>
            </w:r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Убытки на 1 Гкал, тыс. руб./Гкал</w:t>
            </w:r>
          </w:p>
        </w:tc>
      </w:tr>
      <w:tr w:rsidR="006E203F">
        <w:trPr>
          <w:trHeight w:val="20"/>
        </w:trPr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2020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5 821,57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-3 757,63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0,65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3 263,19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1,15</w:t>
            </w:r>
          </w:p>
        </w:tc>
      </w:tr>
      <w:tr w:rsidR="006E203F">
        <w:trPr>
          <w:trHeight w:val="20"/>
        </w:trPr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2021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6 671,94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-3 550,11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0,53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3 581,62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0,99</w:t>
            </w:r>
          </w:p>
        </w:tc>
      </w:tr>
      <w:tr w:rsidR="006E203F">
        <w:trPr>
          <w:trHeight w:val="20"/>
        </w:trPr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2022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6 559,36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-3 711,34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0,57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3 301,29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1,12</w:t>
            </w:r>
          </w:p>
        </w:tc>
      </w:tr>
      <w:tr w:rsidR="006E203F">
        <w:trPr>
          <w:trHeight w:val="20"/>
        </w:trPr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2023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7 713,95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-4 191,99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0,54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3 146,12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1,33</w:t>
            </w:r>
          </w:p>
        </w:tc>
      </w:tr>
    </w:tbl>
    <w:p w:rsidR="006E203F" w:rsidRDefault="00434FDB">
      <w:pPr>
        <w:pStyle w:val="33330"/>
      </w:pPr>
      <w:r>
        <w:t xml:space="preserve">В таблице 4.2. представлены сведения о том, во сколько раз суммарные затраты и их отдельные статьи превышают выручку. Относительные </w:t>
      </w:r>
      <w:r>
        <w:t>расходы на оплату труда (с отчислениями), несмотря на некоторое снижение в 2023г., остаются высокими. Но прежде всего необходим анализ причин высоких расходов на топливо.</w:t>
      </w:r>
    </w:p>
    <w:p w:rsidR="006E203F" w:rsidRDefault="00434FDB">
      <w:pPr>
        <w:pStyle w:val="af8"/>
        <w:ind w:firstLine="0"/>
        <w:rPr>
          <w:sz w:val="24"/>
          <w:szCs w:val="24"/>
        </w:rPr>
      </w:pPr>
      <w:r>
        <w:rPr>
          <w:sz w:val="24"/>
          <w:szCs w:val="24"/>
        </w:rPr>
        <w:t>Таблица 8 - Относительные затраты (на 1 руб. выручки) по котельной с. Ярлуково,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68"/>
        <w:gridCol w:w="1448"/>
        <w:gridCol w:w="1447"/>
        <w:gridCol w:w="1304"/>
        <w:gridCol w:w="1303"/>
      </w:tblGrid>
      <w:tr w:rsidR="006E203F">
        <w:trPr>
          <w:trHeight w:val="288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 затрат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E203F">
        <w:trPr>
          <w:trHeight w:val="288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Расходы на топливо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</w:tr>
      <w:tr w:rsidR="006E203F">
        <w:trPr>
          <w:trHeight w:val="288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Расходы на эл. энергию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</w:tr>
      <w:tr w:rsidR="006E203F">
        <w:trPr>
          <w:trHeight w:val="612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Расходы на оплату труда (с отчислениями на соц. нужды)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</w:tr>
      <w:tr w:rsidR="006E203F">
        <w:trPr>
          <w:trHeight w:val="346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Расходы на ремонт (материалы + подряд)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</w:tr>
      <w:tr w:rsidR="006E203F">
        <w:trPr>
          <w:trHeight w:val="279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Расходы на выполнение работ и услуг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</w:tr>
      <w:tr w:rsidR="006E203F">
        <w:trPr>
          <w:trHeight w:val="288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Прочие расходы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</w:tr>
      <w:tr w:rsidR="006E203F">
        <w:trPr>
          <w:trHeight w:val="288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1,54</w:t>
            </w:r>
          </w:p>
        </w:tc>
      </w:tr>
    </w:tbl>
    <w:p w:rsidR="006E203F" w:rsidRDefault="00434FDB">
      <w:pPr>
        <w:pStyle w:val="33330"/>
      </w:pPr>
      <w:r>
        <w:t xml:space="preserve">Исходя из изложенного, представляется целесообразным развивать теплоснабжение с. Ярлуково по следующим основным </w:t>
      </w:r>
      <w:r>
        <w:t>направлениям:</w:t>
      </w:r>
    </w:p>
    <w:p w:rsidR="006E203F" w:rsidRDefault="00434FDB">
      <w:pPr>
        <w:pStyle w:val="33330"/>
        <w:numPr>
          <w:ilvl w:val="0"/>
          <w:numId w:val="1"/>
        </w:numPr>
        <w:ind w:left="0" w:firstLine="709"/>
      </w:pPr>
      <w:r>
        <w:t xml:space="preserve">Снижение трудоёмкости. Достигается путём перевода котельной на автоматический режим работы с организацией контроля и управления с диспетчерского пункта. </w:t>
      </w:r>
    </w:p>
    <w:p w:rsidR="006E203F" w:rsidRDefault="00434FDB">
      <w:pPr>
        <w:pStyle w:val="33330"/>
        <w:numPr>
          <w:ilvl w:val="0"/>
          <w:numId w:val="1"/>
        </w:numPr>
        <w:ind w:left="0" w:firstLine="709"/>
      </w:pPr>
      <w:r>
        <w:t>Реконструкция котельной с заменой котлов на менее мощные, работающие в автоматическом ре</w:t>
      </w:r>
      <w:r>
        <w:t xml:space="preserve">жиме.  Исходя из расчётной нагрузки 1,48 Гкал/ч, новая мощность котельной может составить 2 МВт (1,71 Гкал/ч). Сравнительная оценка показывает, что реконструкция котельных в существующих помещениях с заменой оборудования будет в 2,5 раза дешевле установки </w:t>
      </w:r>
      <w:r>
        <w:t>новой БМК.</w:t>
      </w:r>
    </w:p>
    <w:p w:rsidR="006E203F" w:rsidRDefault="00434FDB">
      <w:pPr>
        <w:pStyle w:val="33330"/>
        <w:numPr>
          <w:ilvl w:val="0"/>
          <w:numId w:val="1"/>
        </w:numPr>
        <w:ind w:left="0" w:firstLine="709"/>
      </w:pPr>
      <w:r>
        <w:t>Реконструкция наиболее изношенных участков тепловых сетей с неэффективной тепловой изоляцией.</w:t>
      </w:r>
    </w:p>
    <w:p w:rsidR="006E203F" w:rsidRDefault="00434FDB">
      <w:pPr>
        <w:pStyle w:val="12"/>
      </w:pPr>
      <w:bookmarkStart w:id="11" w:name="_Toc174363501"/>
      <w:r>
        <w:t>Раздел 5 Предложения по строительству, реконструкции и техническому перевооружению источников тепловой энергии</w:t>
      </w:r>
      <w:bookmarkEnd w:id="11"/>
    </w:p>
    <w:p w:rsidR="006E203F" w:rsidRDefault="00434FDB">
      <w:pPr>
        <w:pStyle w:val="33330"/>
      </w:pPr>
      <w:r>
        <w:t>Как отмечено в разделе 1, генеральным пл</w:t>
      </w:r>
      <w:r>
        <w:t>аном развития с. Ярлуково увеличения спроса на тепловую энергию (мощность) не предусматривается. Намечаемые к строительству жилые дома и объекты социального назначения предполагается, очевидно, оснастить индивидуальными источниками теплоснабжения. Существу</w:t>
      </w:r>
      <w:r>
        <w:t>ющий и перспективный спрос на тепловую энергию ограничивается только имеющейся системой централизованного теплоснабжения.</w:t>
      </w:r>
    </w:p>
    <w:p w:rsidR="006E203F" w:rsidRDefault="00434FDB">
      <w:pPr>
        <w:pStyle w:val="33330"/>
      </w:pPr>
      <w:r>
        <w:t xml:space="preserve">В связи с изложенным необходимость в строительстве источников тепловой энергии, обеспечивающих перспективную тепловую нагрузку на </w:t>
      </w:r>
      <w:r>
        <w:t>осваиваемых территориях поселения, отсутствует.</w:t>
      </w:r>
    </w:p>
    <w:p w:rsidR="006E203F" w:rsidRDefault="00434FDB">
      <w:pPr>
        <w:pStyle w:val="33330"/>
      </w:pPr>
      <w:r>
        <w:t>Вместе с тем имеется необходимость в реконструкции и техническом перевооружении котельной с целью повышения эффективности её работы.</w:t>
      </w:r>
    </w:p>
    <w:p w:rsidR="006E203F" w:rsidRDefault="00434FDB">
      <w:pPr>
        <w:pStyle w:val="12"/>
      </w:pPr>
      <w:bookmarkStart w:id="12" w:name="_Toc174363502"/>
      <w:r>
        <w:t>Раздел 6 Предложения по строительству и реконструкции тепловых сетей</w:t>
      </w:r>
      <w:bookmarkEnd w:id="12"/>
    </w:p>
    <w:p w:rsidR="006E203F" w:rsidRDefault="00434FDB">
      <w:pPr>
        <w:pStyle w:val="33330"/>
      </w:pPr>
      <w:r>
        <w:t xml:space="preserve">Ввиду </w:t>
      </w:r>
      <w:r>
        <w:t xml:space="preserve">отсутствия перспективных приростов тепловой нагрузки необходимость в строительстве новых тепловых сетей для их обеспечения также отсутствует. </w:t>
      </w:r>
    </w:p>
    <w:p w:rsidR="006E203F" w:rsidRDefault="00434FDB">
      <w:pPr>
        <w:pStyle w:val="33330"/>
      </w:pPr>
      <w:r>
        <w:t>Необходимость в реконструкции и (или) модернизации тепловых сетей, подлежащих замене в связи с исчерпанием эксплу</w:t>
      </w:r>
      <w:r>
        <w:t>атационного ресурса, безусловно, существует. Конкретные объёмы таких работ уточняются эксплуатирующей организацией при ежегодном планировании.</w:t>
      </w:r>
    </w:p>
    <w:p w:rsidR="006E203F" w:rsidRDefault="00434FDB">
      <w:pPr>
        <w:pStyle w:val="12"/>
      </w:pPr>
      <w:bookmarkStart w:id="13" w:name="_Toc174363503"/>
      <w:r>
        <w:t xml:space="preserve">Раздел 7 Предложения по переводу открытых систем теплоснабжения (горячего водоснабжения) в закрытые системы </w:t>
      </w:r>
      <w:r>
        <w:t>горячего водоснабжения</w:t>
      </w:r>
      <w:bookmarkEnd w:id="13"/>
    </w:p>
    <w:p w:rsidR="006E203F" w:rsidRDefault="00434FDB">
      <w:pPr>
        <w:pStyle w:val="33330"/>
      </w:pPr>
      <w:r>
        <w:t>Поскольку в с. Ярлуково система теплоснабжения (горячего водоснабжения) является закрытой, вопрос о переводе открытых систем теплоснабжения (горячего водоснабжения) в закрытые системы горячего водоснабжения отсутствует.</w:t>
      </w:r>
    </w:p>
    <w:p w:rsidR="006E203F" w:rsidRDefault="00434FDB">
      <w:pPr>
        <w:pStyle w:val="12"/>
      </w:pPr>
      <w:bookmarkStart w:id="14" w:name="_Toc174363504"/>
      <w:r>
        <w:t>Раздел 8 Перс</w:t>
      </w:r>
      <w:r>
        <w:t>пективные топливные балансы</w:t>
      </w:r>
      <w:bookmarkEnd w:id="14"/>
    </w:p>
    <w:p w:rsidR="006E203F" w:rsidRDefault="00434FDB">
      <w:pPr>
        <w:pStyle w:val="33330"/>
        <w:sectPr w:rsidR="006E203F">
          <w:footerReference w:type="even" r:id="rId27"/>
          <w:footerReference w:type="default" r:id="rId28"/>
          <w:footerReference w:type="first" r:id="rId29"/>
          <w:pgSz w:w="11906" w:h="16838"/>
          <w:pgMar w:top="1134" w:right="851" w:bottom="1134" w:left="1701" w:header="0" w:footer="709" w:gutter="0"/>
          <w:cols w:space="720"/>
          <w:formProt w:val="0"/>
          <w:docGrid w:linePitch="360" w:charSpace="4096"/>
        </w:sectPr>
      </w:pPr>
      <w:r>
        <w:t xml:space="preserve">Существующее и перспективное потребление топлива котельной с. Ярлуково представлено в таблице 8.1. </w:t>
      </w:r>
      <w:r>
        <w:br w:type="page"/>
      </w:r>
    </w:p>
    <w:p w:rsidR="006E203F" w:rsidRDefault="00434FDB">
      <w:pPr>
        <w:pStyle w:val="af8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Таблица 8.1. - Существующее и перспективное потребления топлива котельной с. Ярл</w:t>
      </w:r>
      <w:r>
        <w:rPr>
          <w:sz w:val="24"/>
          <w:szCs w:val="24"/>
        </w:rPr>
        <w:t>уково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91"/>
        <w:gridCol w:w="872"/>
        <w:gridCol w:w="588"/>
        <w:gridCol w:w="586"/>
        <w:gridCol w:w="588"/>
        <w:gridCol w:w="589"/>
        <w:gridCol w:w="586"/>
        <w:gridCol w:w="591"/>
        <w:gridCol w:w="588"/>
        <w:gridCol w:w="588"/>
        <w:gridCol w:w="587"/>
        <w:gridCol w:w="588"/>
        <w:gridCol w:w="587"/>
        <w:gridCol w:w="588"/>
        <w:gridCol w:w="588"/>
        <w:gridCol w:w="586"/>
        <w:gridCol w:w="588"/>
        <w:gridCol w:w="589"/>
        <w:gridCol w:w="587"/>
        <w:gridCol w:w="588"/>
        <w:gridCol w:w="587"/>
        <w:gridCol w:w="587"/>
        <w:gridCol w:w="588"/>
        <w:gridCol w:w="581"/>
      </w:tblGrid>
      <w:tr w:rsidR="006E203F">
        <w:trPr>
          <w:trHeight w:val="2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333333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4"/>
              </w:rPr>
              <w:t>Показатель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333333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4"/>
              </w:rPr>
              <w:t>Ед. изм.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4"/>
              </w:rPr>
              <w:t>2023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4"/>
              </w:rPr>
              <w:t>2024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4"/>
              </w:rPr>
              <w:t>2025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4"/>
              </w:rPr>
              <w:t>2026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4"/>
              </w:rPr>
              <w:t>2027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4"/>
              </w:rPr>
              <w:t>2028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4"/>
              </w:rPr>
              <w:t>2029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4"/>
              </w:rPr>
              <w:t>2030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4"/>
              </w:rPr>
              <w:t>2031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4"/>
              </w:rPr>
              <w:t>2032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4"/>
              </w:rPr>
              <w:t>2033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4"/>
              </w:rPr>
              <w:t>2034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4"/>
              </w:rPr>
              <w:t>2035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4"/>
              </w:rPr>
              <w:t>2036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4"/>
              </w:rPr>
              <w:t>2037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4"/>
              </w:rPr>
              <w:t>2038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4"/>
              </w:rPr>
              <w:t>2039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4"/>
              </w:rPr>
              <w:t>2040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4"/>
              </w:rPr>
              <w:t>2041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4"/>
              </w:rPr>
              <w:t>2042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4"/>
              </w:rPr>
              <w:t>2043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4"/>
              </w:rPr>
              <w:t>2044</w:t>
            </w:r>
          </w:p>
        </w:tc>
      </w:tr>
      <w:tr w:rsidR="006E203F">
        <w:trPr>
          <w:trHeight w:val="2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333333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Выработка тепловой энергии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Гкал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4214,4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4214,4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4214,4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4214,4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4214,4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4214,4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4214,4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4214,4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4214,4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4214,4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4214,4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4214,4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4214,4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4214,4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4214,4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4214,4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4214,4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4214,4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4214,4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4214,4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4214,4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4214,4</w:t>
            </w:r>
          </w:p>
        </w:tc>
      </w:tr>
      <w:tr w:rsidR="006E203F">
        <w:trPr>
          <w:trHeight w:val="2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Удельный расход усл. топлива на выработку тепловой энергии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кг.у.т./Гкал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176,94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176,94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176,94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176,94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176,94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176,94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176,94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176,94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176,94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176,94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176,94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176,94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176,94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176,94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176,94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176,94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176,94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176,94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176,94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176,94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176,94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176,94</w:t>
            </w:r>
          </w:p>
        </w:tc>
      </w:tr>
      <w:tr w:rsidR="006E203F">
        <w:trPr>
          <w:trHeight w:val="2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Расход условного топлива на выработку тепловой энергии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т.у.т.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745,70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745,70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745,70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745,70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745,70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745,70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745,70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745,70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745,70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745,70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745,70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745,70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745,70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745,70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745,70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745,70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745,70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745,70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745,70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745,70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745,70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745,70</w:t>
            </w:r>
          </w:p>
        </w:tc>
      </w:tr>
      <w:tr w:rsidR="006E203F">
        <w:trPr>
          <w:trHeight w:val="2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Расход натурального топлива на выработку тепловой энергии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тыс. м³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639,57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639,57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639,57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639,57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639,57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639,57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639,57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639,57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639,57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639,57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639,57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639,57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639,57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639,57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639,57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639,57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639,57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639,57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639,57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639,57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639,57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14"/>
                <w:szCs w:val="14"/>
              </w:rPr>
              <w:t>639,57</w:t>
            </w:r>
          </w:p>
        </w:tc>
      </w:tr>
    </w:tbl>
    <w:p w:rsidR="006E203F" w:rsidRDefault="00434FDB">
      <w:pPr>
        <w:spacing w:after="200" w:line="276" w:lineRule="auto"/>
        <w:sectPr w:rsidR="006E203F">
          <w:footerReference w:type="even" r:id="rId30"/>
          <w:footerReference w:type="default" r:id="rId31"/>
          <w:footerReference w:type="first" r:id="rId32"/>
          <w:pgSz w:w="16838" w:h="11906" w:orient="landscape"/>
          <w:pgMar w:top="1701" w:right="1134" w:bottom="851" w:left="1134" w:header="0" w:footer="709" w:gutter="0"/>
          <w:cols w:space="720"/>
          <w:formProt w:val="0"/>
          <w:docGrid w:linePitch="360" w:charSpace="4096"/>
        </w:sectPr>
      </w:pPr>
      <w:r>
        <w:br w:type="page"/>
      </w:r>
    </w:p>
    <w:p w:rsidR="006E203F" w:rsidRDefault="00434FDB">
      <w:pPr>
        <w:pStyle w:val="12"/>
        <w:spacing w:before="0"/>
      </w:pPr>
      <w:bookmarkStart w:id="15" w:name="_Toc174363505"/>
      <w:r>
        <w:t>Раздел 9 Инвестиции в строительство, реконструкцию и техническое перевооружение</w:t>
      </w:r>
      <w:bookmarkEnd w:id="15"/>
    </w:p>
    <w:p w:rsidR="006E203F" w:rsidRDefault="00434FDB">
      <w:pPr>
        <w:pStyle w:val="33330"/>
      </w:pPr>
      <w:r>
        <w:t>В настоящей главе приводится оценка экономическ</w:t>
      </w:r>
      <w:r>
        <w:t>ой эффективности мероприятий, предложенных в мастер-плане (глава 5).</w:t>
      </w:r>
    </w:p>
    <w:p w:rsidR="006E203F" w:rsidRDefault="00434FDB">
      <w:pPr>
        <w:pStyle w:val="33330"/>
      </w:pPr>
      <w:r>
        <w:t>Реконструкцию котельной с. Ярлуково предлагается осуществлять по двум направлениям: 1) замена котлов на менее мощные и более экономичные и 2) автоматизация и диспетчеризация котельных.  П</w:t>
      </w:r>
      <w:r>
        <w:t>оскольку работы по обоим направлениям целесообразно вести одновременно, затраты и получаемые эффекты по ним объединены (таблицы 9.1 и 9.2.).</w:t>
      </w:r>
    </w:p>
    <w:p w:rsidR="006E203F" w:rsidRDefault="00434FDB">
      <w:pPr>
        <w:pStyle w:val="af8"/>
        <w:ind w:firstLine="0"/>
        <w:rPr>
          <w:sz w:val="24"/>
          <w:szCs w:val="24"/>
        </w:rPr>
      </w:pPr>
      <w:r>
        <w:rPr>
          <w:sz w:val="24"/>
          <w:szCs w:val="24"/>
        </w:rPr>
        <w:t>Таблица 9.1. - Капитальные затраты при реконструкции котельной с. Ярлуково, тыс. руб. (без НДС)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910"/>
        <w:gridCol w:w="2660"/>
      </w:tblGrid>
      <w:tr w:rsidR="006E203F">
        <w:trPr>
          <w:trHeight w:val="300"/>
          <w:jc w:val="center"/>
        </w:trPr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Статьи затрат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6E203F">
        <w:trPr>
          <w:trHeight w:val="300"/>
          <w:jc w:val="center"/>
        </w:trPr>
        <w:tc>
          <w:tcPr>
            <w:tcW w:w="6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Проектные работы</w:t>
            </w:r>
          </w:p>
        </w:tc>
        <w:tc>
          <w:tcPr>
            <w:tcW w:w="2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1 182</w:t>
            </w:r>
          </w:p>
        </w:tc>
      </w:tr>
      <w:tr w:rsidR="006E203F">
        <w:trPr>
          <w:trHeight w:val="300"/>
          <w:jc w:val="center"/>
        </w:trPr>
        <w:tc>
          <w:tcPr>
            <w:tcW w:w="6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Демонтаж, монтаж оборудования</w:t>
            </w:r>
          </w:p>
        </w:tc>
        <w:tc>
          <w:tcPr>
            <w:tcW w:w="2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9 522</w:t>
            </w:r>
          </w:p>
        </w:tc>
      </w:tr>
      <w:tr w:rsidR="006E203F">
        <w:trPr>
          <w:trHeight w:val="300"/>
          <w:jc w:val="center"/>
        </w:trPr>
        <w:tc>
          <w:tcPr>
            <w:tcW w:w="6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Автоматизация</w:t>
            </w:r>
          </w:p>
        </w:tc>
        <w:tc>
          <w:tcPr>
            <w:tcW w:w="2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</w:p>
        </w:tc>
      </w:tr>
      <w:tr w:rsidR="006E203F">
        <w:trPr>
          <w:trHeight w:val="300"/>
          <w:jc w:val="center"/>
        </w:trPr>
        <w:tc>
          <w:tcPr>
            <w:tcW w:w="6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11 516</w:t>
            </w:r>
          </w:p>
        </w:tc>
      </w:tr>
    </w:tbl>
    <w:p w:rsidR="006E203F" w:rsidRDefault="00434FDB">
      <w:pPr>
        <w:pStyle w:val="af8"/>
        <w:ind w:firstLine="0"/>
        <w:rPr>
          <w:sz w:val="24"/>
          <w:szCs w:val="24"/>
        </w:rPr>
      </w:pPr>
      <w:r>
        <w:rPr>
          <w:sz w:val="24"/>
          <w:szCs w:val="24"/>
        </w:rPr>
        <w:t>Таблица 9.2. - Предполагаемое снижение эксплуатационных затрат при реконструкции котельной с. Ярлуково, тыс. руб. (без НДС)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25"/>
        <w:gridCol w:w="2700"/>
        <w:gridCol w:w="1801"/>
        <w:gridCol w:w="2744"/>
      </w:tblGrid>
      <w:tr w:rsidR="006E203F">
        <w:trPr>
          <w:trHeight w:val="528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Статьи затрат</w:t>
            </w:r>
          </w:p>
        </w:tc>
        <w:tc>
          <w:tcPr>
            <w:tcW w:w="2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Затраты 2023г.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Предполагаемая экономия</w:t>
            </w:r>
          </w:p>
        </w:tc>
        <w:tc>
          <w:tcPr>
            <w:tcW w:w="2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Пояснения</w:t>
            </w:r>
          </w:p>
        </w:tc>
      </w:tr>
      <w:tr w:rsidR="006E203F">
        <w:trPr>
          <w:trHeight w:val="288"/>
        </w:trPr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топливо</w:t>
            </w:r>
          </w:p>
        </w:tc>
        <w:tc>
          <w:tcPr>
            <w:tcW w:w="2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5 387,91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979,82</w:t>
            </w:r>
          </w:p>
        </w:tc>
        <w:tc>
          <w:tcPr>
            <w:tcW w:w="26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УРУТ снижается на 12%</w:t>
            </w:r>
          </w:p>
        </w:tc>
      </w:tr>
      <w:tr w:rsidR="006E203F">
        <w:trPr>
          <w:trHeight w:val="312"/>
        </w:trPr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ээ.</w:t>
            </w:r>
          </w:p>
        </w:tc>
        <w:tc>
          <w:tcPr>
            <w:tcW w:w="2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1 700,69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6E203F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6E203F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6E203F">
        <w:trPr>
          <w:trHeight w:val="312"/>
        </w:trPr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хол. воду</w:t>
            </w:r>
          </w:p>
        </w:tc>
        <w:tc>
          <w:tcPr>
            <w:tcW w:w="2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196,89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6E203F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6E203F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6E203F">
        <w:trPr>
          <w:trHeight w:val="528"/>
        </w:trPr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с начислениями</w:t>
            </w:r>
          </w:p>
        </w:tc>
        <w:tc>
          <w:tcPr>
            <w:tcW w:w="2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2722,37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1643,4</w:t>
            </w:r>
          </w:p>
        </w:tc>
        <w:tc>
          <w:tcPr>
            <w:tcW w:w="26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затрат на оплату труда операторов</w:t>
            </w:r>
          </w:p>
        </w:tc>
      </w:tr>
      <w:tr w:rsidR="006E203F">
        <w:trPr>
          <w:trHeight w:val="312"/>
        </w:trPr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ремонт</w:t>
            </w:r>
          </w:p>
        </w:tc>
        <w:tc>
          <w:tcPr>
            <w:tcW w:w="2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68,69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6E203F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6E203F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6E203F">
        <w:trPr>
          <w:trHeight w:val="528"/>
        </w:trPr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работ и услуг</w:t>
            </w:r>
          </w:p>
        </w:tc>
        <w:tc>
          <w:tcPr>
            <w:tcW w:w="2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6E203F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6E203F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6E203F">
        <w:trPr>
          <w:trHeight w:val="299"/>
        </w:trPr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2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1 349,49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6E203F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6E203F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6E203F">
        <w:trPr>
          <w:trHeight w:val="312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11 905,95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434FDB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2623,22</w:t>
            </w:r>
          </w:p>
        </w:tc>
        <w:tc>
          <w:tcPr>
            <w:tcW w:w="2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03F" w:rsidRDefault="006E203F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</w:tbl>
    <w:p w:rsidR="006E203F" w:rsidRDefault="00434FDB">
      <w:pPr>
        <w:pStyle w:val="33330"/>
      </w:pPr>
      <w:r>
        <w:t>Сравнение данных из таблиц 12.1 и 12.2 показывает, что простой срок окупаемости реконструкции котельной с. Ярлуково составляет 4,4 года.</w:t>
      </w:r>
    </w:p>
    <w:p w:rsidR="006E203F" w:rsidRDefault="00434FDB">
      <w:pPr>
        <w:pStyle w:val="12"/>
      </w:pPr>
      <w:bookmarkStart w:id="16" w:name="_Toc174363506"/>
      <w:r>
        <w:t xml:space="preserve">Раздел 10 </w:t>
      </w:r>
      <w:r>
        <w:t>Решение об определении единой теплоснабжающей организации (организаций)</w:t>
      </w:r>
      <w:bookmarkEnd w:id="16"/>
    </w:p>
    <w:p w:rsidR="006E203F" w:rsidRDefault="00434FDB">
      <w:pPr>
        <w:pStyle w:val="33330"/>
      </w:pPr>
      <w:r>
        <w:t>До 28.04.2023г. статусом ЕТО в зоне действия котельной</w:t>
      </w:r>
      <w:r>
        <w:rPr>
          <w:rFonts w:asciiTheme="minorHAnsi" w:hAnsiTheme="minorHAnsi" w:cstheme="minorBidi"/>
        </w:rPr>
        <w:t xml:space="preserve"> с. Ярлуково</w:t>
      </w:r>
      <w:r>
        <w:t xml:space="preserve"> был наделён филиал АО "Квадра" - "Липецкая генерация". С 28.04.2023г. статусом ЕТО в зоне действия котельной с. Ярлук</w:t>
      </w:r>
      <w:r>
        <w:t>ово было наделено МУП «ТК-Грязи».</w:t>
      </w:r>
    </w:p>
    <w:p w:rsidR="006E203F" w:rsidRDefault="00434FDB">
      <w:pPr>
        <w:pStyle w:val="12"/>
      </w:pPr>
      <w:bookmarkStart w:id="17" w:name="_Toc174363507"/>
      <w:r>
        <w:t>Раздел 11 Решения о распределении тепловой нагрузки между источниками тепловой энергии</w:t>
      </w:r>
      <w:bookmarkEnd w:id="17"/>
    </w:p>
    <w:p w:rsidR="006E203F" w:rsidRDefault="00434FDB">
      <w:pPr>
        <w:pStyle w:val="33330"/>
      </w:pPr>
      <w:r>
        <w:t>В настоящее время в системе централизованного теплоснабжения с. Ярлуково действует единственная котельная, поэтому вопрос о распределен</w:t>
      </w:r>
      <w:r>
        <w:t>ии тепловой нагрузки между источниками тепловой энергии в с. Ярлуково отсутствует.</w:t>
      </w:r>
    </w:p>
    <w:p w:rsidR="006E203F" w:rsidRDefault="00434FDB">
      <w:pPr>
        <w:pStyle w:val="12"/>
      </w:pPr>
      <w:bookmarkStart w:id="18" w:name="_Toc174363508"/>
      <w:r>
        <w:t>Раздел 12 Решения по бесхозяйным тепловым сетям</w:t>
      </w:r>
      <w:bookmarkEnd w:id="18"/>
    </w:p>
    <w:p w:rsidR="006E203F" w:rsidRDefault="00434FDB">
      <w:pPr>
        <w:pStyle w:val="33330"/>
      </w:pPr>
      <w:r>
        <w:t xml:space="preserve">Бесхозяйные тепловые сети в системе централизованного теплоснабжения </w:t>
      </w:r>
      <w:r>
        <w:t>с. Ярлуково</w:t>
      </w:r>
      <w:r>
        <w:t xml:space="preserve"> не выявлены.</w:t>
      </w:r>
    </w:p>
    <w:p w:rsidR="006E203F" w:rsidRDefault="00434FDB">
      <w:pPr>
        <w:pStyle w:val="12"/>
      </w:pPr>
      <w:bookmarkStart w:id="19" w:name="_Toc174363509"/>
      <w:r>
        <w:t>Раздел 13 Синхронизация схемы т</w:t>
      </w:r>
      <w:r>
        <w:t>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</w:r>
      <w:bookmarkEnd w:id="19"/>
    </w:p>
    <w:p w:rsidR="006E203F" w:rsidRDefault="00434FDB">
      <w:pPr>
        <w:pStyle w:val="33330"/>
      </w:pPr>
      <w:r>
        <w:t>В ближайшей перспективе в деятельности системы це</w:t>
      </w:r>
      <w:r>
        <w:t xml:space="preserve">нтрализованного теплоснабжения с. Ярлуково не предвидится никаких изменений, требующих: </w:t>
      </w:r>
    </w:p>
    <w:p w:rsidR="006E203F" w:rsidRDefault="00434FDB">
      <w:pPr>
        <w:pStyle w:val="33330"/>
      </w:pPr>
      <w:r>
        <w:t xml:space="preserve">- строительства генерирующих объектов, функционирующих в режиме комбинированной выработки электрической и тепловой энергии; </w:t>
      </w:r>
    </w:p>
    <w:p w:rsidR="006E203F" w:rsidRDefault="00434FDB">
      <w:pPr>
        <w:pStyle w:val="33330"/>
      </w:pPr>
      <w:r>
        <w:t xml:space="preserve">- корректировки утвержденной (разработки) </w:t>
      </w:r>
      <w:r>
        <w:t>региональной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r>
        <w:t>;</w:t>
      </w:r>
    </w:p>
    <w:p w:rsidR="006E203F" w:rsidRDefault="00434FDB">
      <w:pPr>
        <w:pStyle w:val="33330"/>
      </w:pPr>
      <w:r>
        <w:t>-   развития региональной системы газоснабжения в части обеспечения топливом новой блочно-модульной котельной;</w:t>
      </w:r>
    </w:p>
    <w:p w:rsidR="006E203F" w:rsidRDefault="00434FDB">
      <w:pPr>
        <w:pStyle w:val="33330"/>
      </w:pPr>
      <w:r>
        <w:t>- развития местной системы водоснабжения в части, относящейся к новой блочно-модульной котельной.</w:t>
      </w:r>
    </w:p>
    <w:p w:rsidR="006E203F" w:rsidRDefault="00434FDB">
      <w:pPr>
        <w:pStyle w:val="33330"/>
      </w:pPr>
      <w:r>
        <w:t>Указанных действий по синхронизации в отношен</w:t>
      </w:r>
      <w:r>
        <w:t>ии других территорий Ярлуковского сельсовета в связи с отсутствием необходимости организации новых систем централизованного теплоснабжения не требуется.</w:t>
      </w:r>
    </w:p>
    <w:p w:rsidR="006E203F" w:rsidRDefault="00434FDB">
      <w:pPr>
        <w:pStyle w:val="12"/>
      </w:pPr>
      <w:bookmarkStart w:id="20" w:name="_Toc174363510"/>
      <w:r>
        <w:t>Раздел 14 Индикаторы развития систем теплоснабжения поселения</w:t>
      </w:r>
      <w:bookmarkEnd w:id="20"/>
    </w:p>
    <w:p w:rsidR="006E203F" w:rsidRDefault="00434FDB">
      <w:pPr>
        <w:pStyle w:val="33330"/>
        <w:sectPr w:rsidR="006E203F">
          <w:footerReference w:type="even" r:id="rId33"/>
          <w:footerReference w:type="default" r:id="rId34"/>
          <w:footerReference w:type="first" r:id="rId35"/>
          <w:pgSz w:w="11906" w:h="16838"/>
          <w:pgMar w:top="1134" w:right="851" w:bottom="1134" w:left="1701" w:header="0" w:footer="709" w:gutter="0"/>
          <w:cols w:space="720"/>
          <w:formProt w:val="0"/>
          <w:docGrid w:linePitch="360" w:charSpace="4096"/>
        </w:sectPr>
      </w:pPr>
      <w:r>
        <w:t>Индикаторы развития системы теплоснабжения котельной, с. Ярлуково представлены в таблице 14.1.</w:t>
      </w:r>
      <w:r>
        <w:br w:type="page"/>
      </w:r>
    </w:p>
    <w:p w:rsidR="006E203F" w:rsidRDefault="00434FD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14.1 - Индикаторы развития системы теплоснабжения котельной </w:t>
      </w:r>
      <w:r>
        <w:rPr>
          <w:rStyle w:val="af7"/>
          <w:rFonts w:eastAsiaTheme="minorHAnsi"/>
          <w:sz w:val="24"/>
          <w:szCs w:val="24"/>
        </w:rPr>
        <w:t>с. Ярлуково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1"/>
        <w:gridCol w:w="1114"/>
        <w:gridCol w:w="821"/>
        <w:gridCol w:w="565"/>
        <w:gridCol w:w="564"/>
        <w:gridCol w:w="564"/>
        <w:gridCol w:w="564"/>
        <w:gridCol w:w="565"/>
        <w:gridCol w:w="562"/>
        <w:gridCol w:w="563"/>
        <w:gridCol w:w="564"/>
        <w:gridCol w:w="562"/>
        <w:gridCol w:w="562"/>
        <w:gridCol w:w="563"/>
        <w:gridCol w:w="562"/>
        <w:gridCol w:w="563"/>
        <w:gridCol w:w="562"/>
        <w:gridCol w:w="564"/>
        <w:gridCol w:w="560"/>
        <w:gridCol w:w="564"/>
        <w:gridCol w:w="561"/>
        <w:gridCol w:w="564"/>
        <w:gridCol w:w="562"/>
        <w:gridCol w:w="564"/>
        <w:gridCol w:w="556"/>
      </w:tblGrid>
      <w:tr w:rsidR="006E203F">
        <w:trPr>
          <w:trHeight w:val="1248"/>
          <w:tblHeader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N п/п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Единицы измерения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2039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2040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2041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2042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2043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2044</w:t>
            </w:r>
          </w:p>
        </w:tc>
      </w:tr>
      <w:tr w:rsidR="006E203F">
        <w:trPr>
          <w:trHeight w:val="312"/>
        </w:trPr>
        <w:tc>
          <w:tcPr>
            <w:tcW w:w="1456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Индикаторы, характеризующие динамику функционирования источников тепловой энергии</w:t>
            </w:r>
          </w:p>
        </w:tc>
      </w:tr>
      <w:tr w:rsidR="006E203F">
        <w:trPr>
          <w:trHeight w:val="624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ind w:firstLine="1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Установленная тепловая мощность котельной: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Гкал/ч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2,58</w:t>
            </w:r>
          </w:p>
        </w:tc>
      </w:tr>
      <w:tr w:rsidR="006E203F">
        <w:trPr>
          <w:trHeight w:val="624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ind w:firstLine="1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Присоединенная тепловая нагрузка на коллекторах (расчётная)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Гкал/ч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1,48</w:t>
            </w:r>
          </w:p>
        </w:tc>
      </w:tr>
      <w:tr w:rsidR="006E203F">
        <w:trPr>
          <w:trHeight w:val="624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ind w:firstLine="1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Доля резерва тепловой мощности котельной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</w:tr>
      <w:tr w:rsidR="006E203F">
        <w:trPr>
          <w:trHeight w:val="312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ind w:firstLine="1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Выработка тепловой энергии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4214,4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4214,4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4214,4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4214,4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4214,4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4214,4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4214,4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4214,4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4214,4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4214,4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4214,4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4214,4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4214,4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4214,4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4214,4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4214,4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4214,4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4214,4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4214,4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4214,4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4214,4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4214,4</w:t>
            </w:r>
          </w:p>
        </w:tc>
      </w:tr>
      <w:tr w:rsidR="006E203F">
        <w:trPr>
          <w:trHeight w:val="624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ind w:firstLine="1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5.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Удельный расход условного топлива на выработанную тепловую энергию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кг/Гкал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176,94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176,94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176,94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176,94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176,94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176,94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176,94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176,94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176,94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176,94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176,94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176,94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176,94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176,94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176,94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176,94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176,94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176,94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176,94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176,94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176,94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176,94</w:t>
            </w:r>
          </w:p>
        </w:tc>
      </w:tr>
      <w:tr w:rsidR="006E203F">
        <w:trPr>
          <w:trHeight w:val="624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ind w:firstLine="1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Число часов использования установленной тепловой мощности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час/год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1581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1581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1581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1581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1581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1581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1581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1581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1581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1581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1581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1581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1581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1581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1581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1581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1581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1581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1581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1581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1581</w:t>
            </w:r>
          </w:p>
        </w:tc>
      </w:tr>
      <w:tr w:rsidR="006E203F">
        <w:trPr>
          <w:trHeight w:val="312"/>
        </w:trPr>
        <w:tc>
          <w:tcPr>
            <w:tcW w:w="1456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Индикаторы, характеризующие спрос на тепловую энергию и тепловую мощность в системах теплоснабжения</w:t>
            </w:r>
          </w:p>
        </w:tc>
      </w:tr>
      <w:tr w:rsidR="006E203F">
        <w:trPr>
          <w:trHeight w:val="312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ind w:firstLine="1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Присоединенная договорная нагрузка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Гкал/ч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1,68</w:t>
            </w:r>
          </w:p>
        </w:tc>
      </w:tr>
      <w:tr w:rsidR="006E203F">
        <w:trPr>
          <w:trHeight w:val="312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ind w:firstLine="1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Полезный отпуск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3297,1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3297,1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3297,1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3297,1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3297,1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3297,1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3297,1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3297,1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3297,1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3297,1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3297,1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3297,1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3297,1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3297,1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3297,1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3297,1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3297,1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3297,1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3297,1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3297,1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3297,1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3297,1</w:t>
            </w:r>
          </w:p>
        </w:tc>
      </w:tr>
      <w:tr w:rsidR="006E203F">
        <w:trPr>
          <w:trHeight w:val="312"/>
        </w:trPr>
        <w:tc>
          <w:tcPr>
            <w:tcW w:w="1456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Индикаторы, характеризующие динамику изменения показателей тепловых сетей в системах теплоснабжения</w:t>
            </w:r>
          </w:p>
        </w:tc>
      </w:tr>
      <w:tr w:rsidR="006E203F">
        <w:trPr>
          <w:trHeight w:val="624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ind w:firstLine="1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Протяженность тепловых сетей (в однотрубном измерении)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3505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3505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3505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3505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3505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3505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3505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3505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3505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3505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3505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3505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3505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3505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3505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3505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3505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3505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3505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3505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3505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3505</w:t>
            </w:r>
          </w:p>
        </w:tc>
      </w:tr>
      <w:tr w:rsidR="006E203F">
        <w:trPr>
          <w:trHeight w:val="624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ind w:firstLine="1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Относительные фактические потери в тепловых сетях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19,15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19,15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19,15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19,15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19,15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19,15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19,15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19,15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19,15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19,15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19,15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19,15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19,15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19,15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19,15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19,15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19,15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19,15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19,15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19,15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19,15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19,15</w:t>
            </w:r>
          </w:p>
        </w:tc>
      </w:tr>
      <w:tr w:rsidR="006E203F">
        <w:trPr>
          <w:trHeight w:val="624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ind w:firstLine="1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Линейная плотность передачи тепловой энергии в тепловых сетях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Гкал/м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1,16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1,16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1,16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1,16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1,16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1,16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1,16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1,16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1,16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1,16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1,16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1,16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1,16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1,16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1,16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1,16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1,16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1,16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1,16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1,16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1,16</w:t>
            </w:r>
          </w:p>
        </w:tc>
      </w:tr>
      <w:tr w:rsidR="006E203F">
        <w:trPr>
          <w:trHeight w:val="624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ind w:firstLine="140"/>
              <w:rPr>
                <w:rFonts w:ascii="Times New Roman" w:hAnsi="Times New Roman" w:cs="Times New Roman"/>
                <w:color w:val="44444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444444"/>
                <w:sz w:val="14"/>
                <w:szCs w:val="14"/>
              </w:rPr>
              <w:t>12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Удельный расход электрической энергии на передачу тепловой энергии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44444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444444"/>
                <w:sz w:val="14"/>
                <w:szCs w:val="14"/>
              </w:rPr>
              <w:t>кВт-ч/Гкал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42,57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42,57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42,57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42,57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42,57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42,57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42,57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42,57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42,57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42,57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42,57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42,57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42,57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42,57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42,57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42,57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42,57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42,57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42,57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42,57</w:t>
            </w:r>
          </w:p>
        </w:tc>
        <w:tc>
          <w:tcPr>
            <w:tcW w:w="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42,57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03F" w:rsidRDefault="00434F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42,57</w:t>
            </w:r>
          </w:p>
        </w:tc>
      </w:tr>
    </w:tbl>
    <w:p w:rsidR="006E203F" w:rsidRDefault="00434FDB">
      <w:pPr>
        <w:sectPr w:rsidR="006E203F">
          <w:footerReference w:type="even" r:id="rId36"/>
          <w:footerReference w:type="default" r:id="rId37"/>
          <w:footerReference w:type="first" r:id="rId38"/>
          <w:pgSz w:w="16838" w:h="11906" w:orient="landscape"/>
          <w:pgMar w:top="1701" w:right="1134" w:bottom="851" w:left="1134" w:header="0" w:footer="709" w:gutter="0"/>
          <w:cols w:space="720"/>
          <w:formProt w:val="0"/>
          <w:docGrid w:linePitch="360" w:charSpace="4096"/>
        </w:sectPr>
      </w:pPr>
      <w:r>
        <w:br w:type="page"/>
      </w:r>
    </w:p>
    <w:p w:rsidR="006E203F" w:rsidRDefault="00434FDB">
      <w:pPr>
        <w:pStyle w:val="12"/>
        <w:spacing w:before="0"/>
      </w:pPr>
      <w:bookmarkStart w:id="21" w:name="_Toc174363511"/>
      <w:r>
        <w:t>Раздел 15 Ценовые (тарифные) последствия</w:t>
      </w:r>
      <w:bookmarkEnd w:id="21"/>
    </w:p>
    <w:p w:rsidR="006E203F" w:rsidRDefault="00434FDB">
      <w:pPr>
        <w:pStyle w:val="33330"/>
      </w:pPr>
      <w:r>
        <w:t>Действующее законодательство предусматривает строго ограниченный р</w:t>
      </w:r>
      <w:r>
        <w:t xml:space="preserve">ост тарифов на тепловую энергию. Поэтому повышение тарифной выручки для финансирования роста объёмов работ по ремонту или реконструкции невозможно, для реализации дополнительных мероприятий необходимо использовать другие источники. Таким образом, </w:t>
      </w:r>
      <w:r>
        <w:rPr>
          <w:color w:val="000000"/>
        </w:rPr>
        <w:t>реализация указанных предложений каких-либо ценовых (тарифных) последствий иметь не будет.</w:t>
      </w:r>
    </w:p>
    <w:sectPr w:rsidR="006E203F">
      <w:footerReference w:type="even" r:id="rId39"/>
      <w:footerReference w:type="default" r:id="rId40"/>
      <w:footerReference w:type="first" r:id="rId41"/>
      <w:pgSz w:w="11906" w:h="16838"/>
      <w:pgMar w:top="1134" w:right="851" w:bottom="1134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34FDB">
      <w:pPr>
        <w:spacing w:after="0" w:line="240" w:lineRule="auto"/>
      </w:pPr>
      <w:r>
        <w:separator/>
      </w:r>
    </w:p>
  </w:endnote>
  <w:endnote w:type="continuationSeparator" w:id="0">
    <w:p w:rsidR="00000000" w:rsidRDefault="0043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03F" w:rsidRDefault="006E203F">
    <w:pPr>
      <w:pStyle w:val="af2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03F" w:rsidRDefault="006E203F">
    <w:pPr>
      <w:pStyle w:val="af2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1978441"/>
      <w:docPartObj>
        <w:docPartGallery w:val="Page Numbers (Bottom of Page)"/>
        <w:docPartUnique/>
      </w:docPartObj>
    </w:sdtPr>
    <w:sdtEndPr/>
    <w:sdtContent>
      <w:p w:rsidR="006E203F" w:rsidRDefault="00434FDB">
        <w:pPr>
          <w:pStyle w:val="af2"/>
          <w:jc w:val="center"/>
          <w:rPr>
            <w:rFonts w:ascii="Times New Roman" w:hAnsi="Times New Roman" w:cs="Times New Roman"/>
            <w:sz w:val="24"/>
          </w:rPr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956660"/>
      <w:docPartObj>
        <w:docPartGallery w:val="Page Numbers (Bottom of Page)"/>
        <w:docPartUnique/>
      </w:docPartObj>
    </w:sdtPr>
    <w:sdtEndPr/>
    <w:sdtContent>
      <w:p w:rsidR="006E203F" w:rsidRDefault="00434FDB">
        <w:pPr>
          <w:pStyle w:val="af2"/>
          <w:jc w:val="center"/>
          <w:rPr>
            <w:rFonts w:ascii="Times New Roman" w:hAnsi="Times New Roman" w:cs="Times New Roman"/>
            <w:sz w:val="24"/>
          </w:rPr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10</w:t>
        </w:r>
        <w:r>
          <w:fldChar w:fldCharType="end"/>
        </w:r>
      </w:p>
    </w:sdtContent>
  </w:sdt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03F" w:rsidRDefault="006E203F">
    <w:pPr>
      <w:pStyle w:val="af2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337996"/>
      <w:docPartObj>
        <w:docPartGallery w:val="Page Numbers (Bottom of Page)"/>
        <w:docPartUnique/>
      </w:docPartObj>
    </w:sdtPr>
    <w:sdtEndPr/>
    <w:sdtContent>
      <w:p w:rsidR="006E203F" w:rsidRDefault="00434FDB">
        <w:pPr>
          <w:pStyle w:val="af2"/>
          <w:jc w:val="center"/>
          <w:rPr>
            <w:rFonts w:ascii="Times New Roman" w:hAnsi="Times New Roman" w:cs="Times New Roman"/>
            <w:sz w:val="24"/>
          </w:rPr>
        </w:pPr>
        <w:r>
          <w:fldChar w:fldCharType="begin"/>
        </w:r>
        <w:r>
          <w:instrText xml:space="preserve"> PAG</w:instrText>
        </w:r>
        <w:r>
          <w:instrText xml:space="preserve">E 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205122"/>
      <w:docPartObj>
        <w:docPartGallery w:val="Page Numbers (Bottom of Page)"/>
        <w:docPartUnique/>
      </w:docPartObj>
    </w:sdtPr>
    <w:sdtEndPr/>
    <w:sdtContent>
      <w:p w:rsidR="006E203F" w:rsidRDefault="00434FDB">
        <w:pPr>
          <w:pStyle w:val="af2"/>
          <w:jc w:val="center"/>
          <w:rPr>
            <w:rFonts w:ascii="Times New Roman" w:hAnsi="Times New Roman" w:cs="Times New Roman"/>
            <w:sz w:val="24"/>
          </w:rPr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11</w:t>
        </w:r>
        <w:r>
          <w:fldChar w:fldCharType="end"/>
        </w:r>
      </w:p>
    </w:sdtContent>
  </w:sdt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03F" w:rsidRDefault="006E203F">
    <w:pPr>
      <w:pStyle w:val="af2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989848"/>
      <w:docPartObj>
        <w:docPartGallery w:val="Page Numbers (Bottom of Page)"/>
        <w:docPartUnique/>
      </w:docPartObj>
    </w:sdtPr>
    <w:sdtEndPr/>
    <w:sdtContent>
      <w:p w:rsidR="006E203F" w:rsidRDefault="00434FDB">
        <w:pPr>
          <w:pStyle w:val="af2"/>
          <w:jc w:val="center"/>
          <w:rPr>
            <w:rFonts w:ascii="Times New Roman" w:hAnsi="Times New Roman" w:cs="Times New Roman"/>
            <w:sz w:val="24"/>
          </w:rPr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492548"/>
      <w:docPartObj>
        <w:docPartGallery w:val="Page Numbers (Bottom of Page)"/>
        <w:docPartUnique/>
      </w:docPartObj>
    </w:sdtPr>
    <w:sdtEndPr/>
    <w:sdtContent>
      <w:p w:rsidR="006E203F" w:rsidRDefault="00434FDB">
        <w:pPr>
          <w:pStyle w:val="af2"/>
          <w:jc w:val="center"/>
          <w:rPr>
            <w:rFonts w:ascii="Times New Roman" w:hAnsi="Times New Roman" w:cs="Times New Roman"/>
            <w:sz w:val="24"/>
          </w:rPr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12</w:t>
        </w:r>
        <w:r>
          <w:fldChar w:fldCharType="end"/>
        </w:r>
      </w:p>
    </w:sdtContent>
  </w:sdt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03F" w:rsidRDefault="006E203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030577"/>
      <w:docPartObj>
        <w:docPartGallery w:val="Page Numbers (Bottom of Page)"/>
        <w:docPartUnique/>
      </w:docPartObj>
    </w:sdtPr>
    <w:sdtEndPr/>
    <w:sdtContent>
      <w:p w:rsidR="006E203F" w:rsidRDefault="00434FDB">
        <w:pPr>
          <w:pStyle w:val="af2"/>
          <w:jc w:val="center"/>
          <w:rPr>
            <w:rFonts w:ascii="Times New Roman" w:hAnsi="Times New Roman" w:cs="Times New Roman"/>
            <w:sz w:val="24"/>
          </w:rPr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6539714"/>
      <w:docPartObj>
        <w:docPartGallery w:val="Page Numbers (Bottom of Page)"/>
        <w:docPartUnique/>
      </w:docPartObj>
    </w:sdtPr>
    <w:sdtEndPr/>
    <w:sdtContent>
      <w:p w:rsidR="006E203F" w:rsidRDefault="00434FDB">
        <w:pPr>
          <w:pStyle w:val="af2"/>
          <w:jc w:val="center"/>
          <w:rPr>
            <w:rFonts w:ascii="Times New Roman" w:hAnsi="Times New Roman" w:cs="Times New Roman"/>
            <w:sz w:val="24"/>
          </w:rPr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122111"/>
      <w:docPartObj>
        <w:docPartGallery w:val="Page Numbers (Bottom of Page)"/>
        <w:docPartUnique/>
      </w:docPartObj>
    </w:sdtPr>
    <w:sdtEndPr/>
    <w:sdtContent>
      <w:p w:rsidR="006E203F" w:rsidRDefault="00434FDB">
        <w:pPr>
          <w:pStyle w:val="af2"/>
          <w:jc w:val="center"/>
          <w:rPr>
            <w:rFonts w:ascii="Times New Roman" w:hAnsi="Times New Roman" w:cs="Times New Roman"/>
            <w:sz w:val="24"/>
          </w:rPr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15</w:t>
        </w:r>
        <w:r>
          <w:fldChar w:fldCharType="end"/>
        </w:r>
      </w:p>
    </w:sdtContent>
  </w:sdt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03F" w:rsidRDefault="006E203F">
    <w:pPr>
      <w:pStyle w:val="af2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738123"/>
      <w:docPartObj>
        <w:docPartGallery w:val="Page Numbers (Bottom of Page)"/>
        <w:docPartUnique/>
      </w:docPartObj>
    </w:sdtPr>
    <w:sdtEndPr/>
    <w:sdtContent>
      <w:p w:rsidR="006E203F" w:rsidRDefault="00434FDB">
        <w:pPr>
          <w:pStyle w:val="af2"/>
          <w:jc w:val="center"/>
          <w:rPr>
            <w:rFonts w:ascii="Times New Roman" w:hAnsi="Times New Roman" w:cs="Times New Roman"/>
            <w:sz w:val="24"/>
          </w:rPr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8329489"/>
      <w:docPartObj>
        <w:docPartGallery w:val="Page Numbers (Bottom of Page)"/>
        <w:docPartUnique/>
      </w:docPartObj>
    </w:sdtPr>
    <w:sdtEndPr/>
    <w:sdtContent>
      <w:p w:rsidR="006E203F" w:rsidRDefault="00434FDB">
        <w:pPr>
          <w:pStyle w:val="af2"/>
          <w:jc w:val="center"/>
          <w:rPr>
            <w:rFonts w:ascii="Times New Roman" w:hAnsi="Times New Roman" w:cs="Times New Roman"/>
            <w:sz w:val="24"/>
          </w:rPr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16</w:t>
        </w:r>
        <w:r>
          <w:fldChar w:fldCharType="end"/>
        </w:r>
      </w:p>
    </w:sdtContent>
  </w:sdt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03F" w:rsidRDefault="006E203F">
    <w:pPr>
      <w:pStyle w:val="af2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9859664"/>
      <w:docPartObj>
        <w:docPartGallery w:val="Page Numbers (Bottom of Page)"/>
        <w:docPartUnique/>
      </w:docPartObj>
    </w:sdtPr>
    <w:sdtEndPr/>
    <w:sdtContent>
      <w:p w:rsidR="006E203F" w:rsidRDefault="00434FDB">
        <w:pPr>
          <w:pStyle w:val="af2"/>
          <w:jc w:val="center"/>
          <w:rPr>
            <w:rFonts w:ascii="Times New Roman" w:hAnsi="Times New Roman" w:cs="Times New Roman"/>
            <w:sz w:val="24"/>
          </w:rPr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593461"/>
      <w:docPartObj>
        <w:docPartGallery w:val="Page Numbers (Bottom of Page)"/>
        <w:docPartUnique/>
      </w:docPartObj>
    </w:sdtPr>
    <w:sdtEndPr/>
    <w:sdtContent>
      <w:p w:rsidR="006E203F" w:rsidRDefault="00434FDB">
        <w:pPr>
          <w:pStyle w:val="af2"/>
          <w:jc w:val="center"/>
          <w:rPr>
            <w:rFonts w:ascii="Times New Roman" w:hAnsi="Times New Roman" w:cs="Times New Roman"/>
            <w:sz w:val="24"/>
          </w:rPr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18</w:t>
        </w:r>
        <w:r>
          <w:fldChar w:fldCharType="end"/>
        </w:r>
      </w:p>
    </w:sdtContent>
  </w:sdt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03F" w:rsidRDefault="006E203F">
    <w:pPr>
      <w:pStyle w:val="af2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0734479"/>
      <w:docPartObj>
        <w:docPartGallery w:val="Page Numbers (Bottom of Page)"/>
        <w:docPartUnique/>
      </w:docPartObj>
    </w:sdtPr>
    <w:sdtEndPr/>
    <w:sdtContent>
      <w:p w:rsidR="006E203F" w:rsidRDefault="00434FDB">
        <w:pPr>
          <w:pStyle w:val="af2"/>
          <w:jc w:val="center"/>
          <w:rPr>
            <w:rFonts w:ascii="Times New Roman" w:hAnsi="Times New Roman" w:cs="Times New Roman"/>
            <w:sz w:val="24"/>
          </w:rPr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03F" w:rsidRDefault="006E203F">
    <w:pPr>
      <w:pStyle w:val="af2"/>
      <w:jc w:val="center"/>
      <w:rPr>
        <w:rFonts w:ascii="Times New Roman" w:hAnsi="Times New Roman" w:cs="Times New Roman"/>
        <w:sz w:val="24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538745"/>
      <w:docPartObj>
        <w:docPartGallery w:val="Page Numbers (Bottom of Page)"/>
        <w:docPartUnique/>
      </w:docPartObj>
    </w:sdtPr>
    <w:sdtEndPr/>
    <w:sdtContent>
      <w:p w:rsidR="006E203F" w:rsidRDefault="00434FDB">
        <w:pPr>
          <w:pStyle w:val="af2"/>
          <w:jc w:val="center"/>
          <w:rPr>
            <w:rFonts w:ascii="Times New Roman" w:hAnsi="Times New Roman" w:cs="Times New Roman"/>
            <w:sz w:val="24"/>
          </w:rPr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20</w:t>
        </w:r>
        <w:r>
          <w:fldChar w:fldCharType="end"/>
        </w:r>
      </w:p>
    </w:sdtContent>
  </w:sdt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03F" w:rsidRDefault="006E203F">
    <w:pPr>
      <w:pStyle w:val="af2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041037"/>
      <w:docPartObj>
        <w:docPartGallery w:val="Page Numbers (Bottom of Page)"/>
        <w:docPartUnique/>
      </w:docPartObj>
    </w:sdtPr>
    <w:sdtEndPr/>
    <w:sdtContent>
      <w:p w:rsidR="006E203F" w:rsidRDefault="00434FDB">
        <w:pPr>
          <w:pStyle w:val="af2"/>
          <w:jc w:val="center"/>
          <w:rPr>
            <w:rFonts w:ascii="Times New Roman" w:hAnsi="Times New Roman" w:cs="Times New Roman"/>
            <w:sz w:val="24"/>
          </w:rPr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0567011"/>
      <w:docPartObj>
        <w:docPartGallery w:val="Page Numbers (Bottom of Page)"/>
        <w:docPartUnique/>
      </w:docPartObj>
    </w:sdtPr>
    <w:sdtEndPr/>
    <w:sdtContent>
      <w:p w:rsidR="006E203F" w:rsidRDefault="00434FDB">
        <w:pPr>
          <w:pStyle w:val="af2"/>
          <w:jc w:val="center"/>
          <w:rPr>
            <w:rFonts w:ascii="Times New Roman" w:hAnsi="Times New Roman" w:cs="Times New Roman"/>
            <w:sz w:val="24"/>
          </w:rPr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21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03F" w:rsidRDefault="006E203F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6739553"/>
      <w:docPartObj>
        <w:docPartGallery w:val="Page Numbers (Bottom of Page)"/>
        <w:docPartUnique/>
      </w:docPartObj>
    </w:sdtPr>
    <w:sdtEndPr/>
    <w:sdtContent>
      <w:p w:rsidR="006E203F" w:rsidRDefault="00434FDB">
        <w:pPr>
          <w:pStyle w:val="af2"/>
          <w:jc w:val="center"/>
          <w:rPr>
            <w:rFonts w:ascii="Times New Roman" w:hAnsi="Times New Roman" w:cs="Times New Roman"/>
            <w:sz w:val="24"/>
          </w:rPr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5545427"/>
      <w:docPartObj>
        <w:docPartGallery w:val="Page Numbers (Bottom of Page)"/>
        <w:docPartUnique/>
      </w:docPartObj>
    </w:sdtPr>
    <w:sdtEndPr/>
    <w:sdtContent>
      <w:p w:rsidR="006E203F" w:rsidRDefault="00434FDB">
        <w:pPr>
          <w:pStyle w:val="af2"/>
          <w:jc w:val="center"/>
          <w:rPr>
            <w:rFonts w:ascii="Times New Roman" w:hAnsi="Times New Roman" w:cs="Times New Roman"/>
            <w:sz w:val="24"/>
          </w:rPr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7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03F" w:rsidRDefault="006E203F">
    <w:pPr>
      <w:pStyle w:val="af2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218922"/>
      <w:docPartObj>
        <w:docPartGallery w:val="Page Numbers (Bottom of Page)"/>
        <w:docPartUnique/>
      </w:docPartObj>
    </w:sdtPr>
    <w:sdtEndPr/>
    <w:sdtContent>
      <w:p w:rsidR="006E203F" w:rsidRDefault="00434FDB">
        <w:pPr>
          <w:pStyle w:val="af2"/>
          <w:jc w:val="center"/>
          <w:rPr>
            <w:rFonts w:ascii="Times New Roman" w:hAnsi="Times New Roman" w:cs="Times New Roman"/>
            <w:sz w:val="24"/>
          </w:rPr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7175373"/>
      <w:docPartObj>
        <w:docPartGallery w:val="Page Numbers (Bottom of Page)"/>
        <w:docPartUnique/>
      </w:docPartObj>
    </w:sdtPr>
    <w:sdtEndPr/>
    <w:sdtContent>
      <w:p w:rsidR="006E203F" w:rsidRDefault="00434FDB">
        <w:pPr>
          <w:pStyle w:val="af2"/>
          <w:jc w:val="center"/>
          <w:rPr>
            <w:rFonts w:ascii="Times New Roman" w:hAnsi="Times New Roman" w:cs="Times New Roman"/>
            <w:sz w:val="24"/>
          </w:rPr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34FDB">
      <w:pPr>
        <w:spacing w:after="0" w:line="240" w:lineRule="auto"/>
      </w:pPr>
      <w:r>
        <w:separator/>
      </w:r>
    </w:p>
  </w:footnote>
  <w:footnote w:type="continuationSeparator" w:id="0">
    <w:p w:rsidR="00000000" w:rsidRDefault="00434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17210"/>
    <w:multiLevelType w:val="multilevel"/>
    <w:tmpl w:val="1A742F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363E13"/>
    <w:multiLevelType w:val="multilevel"/>
    <w:tmpl w:val="1EB8EB96"/>
    <w:lvl w:ilvl="0">
      <w:start w:val="1"/>
      <w:numFmt w:val="decimal"/>
      <w:lvlText w:val="%1."/>
      <w:lvlJc w:val="left"/>
      <w:pPr>
        <w:tabs>
          <w:tab w:val="num" w:pos="0"/>
        </w:tabs>
        <w:ind w:left="1414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3F"/>
    <w:rsid w:val="00434FDB"/>
    <w:rsid w:val="006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BED9F-82CC-4BFE-ACD9-CC7635A2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link w:val="a6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7">
    <w:name w:val="Текст сноски Знак"/>
    <w:link w:val="a8"/>
    <w:uiPriority w:val="99"/>
    <w:qFormat/>
    <w:rPr>
      <w:sz w:val="18"/>
    </w:rPr>
  </w:style>
  <w:style w:type="character" w:styleId="a9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basedOn w:val="a0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link w:val="ab"/>
    <w:uiPriority w:val="99"/>
    <w:qFormat/>
    <w:rPr>
      <w:sz w:val="20"/>
    </w:rPr>
  </w:style>
  <w:style w:type="character" w:styleId="ac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basedOn w:val="a0"/>
    <w:uiPriority w:val="99"/>
    <w:semiHidden/>
    <w:unhideWhenUsed/>
    <w:qFormat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d">
    <w:name w:val="Текст выноски Знак"/>
    <w:basedOn w:val="a0"/>
    <w:link w:val="ae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basedOn w:val="a0"/>
    <w:link w:val="af0"/>
    <w:uiPriority w:val="99"/>
    <w:qFormat/>
  </w:style>
  <w:style w:type="character" w:customStyle="1" w:styleId="af1">
    <w:name w:val="Нижний колонтитул Знак"/>
    <w:basedOn w:val="a0"/>
    <w:link w:val="af2"/>
    <w:uiPriority w:val="99"/>
    <w:qFormat/>
  </w:style>
  <w:style w:type="character" w:customStyle="1" w:styleId="af3">
    <w:name w:val="Без интервала Знак"/>
    <w:basedOn w:val="a0"/>
    <w:link w:val="af4"/>
    <w:uiPriority w:val="1"/>
    <w:qFormat/>
  </w:style>
  <w:style w:type="character" w:customStyle="1" w:styleId="af5">
    <w:name w:val="Подзаголовок Знак"/>
    <w:basedOn w:val="a0"/>
    <w:link w:val="af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Уровень 1 Знак"/>
    <w:basedOn w:val="af3"/>
    <w:link w:val="12"/>
    <w:qFormat/>
    <w:rPr>
      <w:rFonts w:ascii="Times New Roman" w:hAnsi="Times New Roman" w:cs="Times New Roman"/>
      <w:b/>
      <w:sz w:val="28"/>
      <w:szCs w:val="28"/>
    </w:rPr>
  </w:style>
  <w:style w:type="character" w:customStyle="1" w:styleId="23">
    <w:name w:val="Уровень 2 Знак"/>
    <w:basedOn w:val="20"/>
    <w:link w:val="24"/>
    <w:qFormat/>
    <w:rPr>
      <w:rFonts w:ascii="Times New Roman" w:eastAsiaTheme="majorEastAsia" w:hAnsi="Times New Roman" w:cs="Times New Roman"/>
      <w:b/>
      <w:color w:val="365F91" w:themeColor="accent1" w:themeShade="BF"/>
      <w:sz w:val="28"/>
      <w:szCs w:val="28"/>
    </w:rPr>
  </w:style>
  <w:style w:type="character" w:customStyle="1" w:styleId="3333">
    <w:name w:val="Текст 3333 Знак"/>
    <w:basedOn w:val="a0"/>
    <w:link w:val="33330"/>
    <w:qFormat/>
    <w:rPr>
      <w:rFonts w:ascii="Times New Roman" w:hAnsi="Times New Roman" w:cs="Times New Roman"/>
      <w:sz w:val="28"/>
      <w:szCs w:val="28"/>
    </w:rPr>
  </w:style>
  <w:style w:type="character" w:customStyle="1" w:styleId="af7">
    <w:name w:val="Таблицы Знак"/>
    <w:basedOn w:val="23"/>
    <w:link w:val="af8"/>
    <w:qFormat/>
    <w:rPr>
      <w:rFonts w:ascii="Times New Roman" w:eastAsia="Times New Roman" w:hAnsi="Times New Roman" w:cs="Times New Roman"/>
      <w:b w:val="0"/>
      <w:color w:val="365F91" w:themeColor="accent1" w:themeShade="BF"/>
      <w:sz w:val="28"/>
      <w:szCs w:val="28"/>
      <w:lang w:eastAsia="ru-RU"/>
    </w:rPr>
  </w:style>
  <w:style w:type="character" w:customStyle="1" w:styleId="af9">
    <w:name w:val="Рисунки Знак"/>
    <w:basedOn w:val="af7"/>
    <w:link w:val="afa"/>
    <w:qFormat/>
    <w:rPr>
      <w:rFonts w:ascii="Times New Roman" w:eastAsia="Times New Roman" w:hAnsi="Times New Roman" w:cs="Times New Roman"/>
      <w:b w:val="0"/>
      <w:color w:val="365F91" w:themeColor="accent1" w:themeShade="BF"/>
      <w:sz w:val="28"/>
      <w:szCs w:val="28"/>
      <w:lang w:eastAsia="ru-RU"/>
    </w:rPr>
  </w:style>
  <w:style w:type="character" w:customStyle="1" w:styleId="33333">
    <w:name w:val="Текст основной 33333 Знак"/>
    <w:basedOn w:val="a0"/>
    <w:link w:val="333330"/>
    <w:qFormat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333331">
    <w:name w:val="Основ Текст 33333 Знак"/>
    <w:basedOn w:val="a0"/>
    <w:link w:val="333332"/>
    <w:qFormat/>
    <w:rPr>
      <w:rFonts w:ascii="Times New Roman" w:hAnsi="Times New Roman" w:cs="Times New Roman"/>
      <w:sz w:val="28"/>
      <w:szCs w:val="28"/>
    </w:rPr>
  </w:style>
  <w:style w:type="character" w:customStyle="1" w:styleId="afb">
    <w:name w:val="Основной текст Знак"/>
    <w:basedOn w:val="a0"/>
    <w:link w:val="afc"/>
    <w:uiPriority w:val="1"/>
    <w:qFormat/>
    <w:rPr>
      <w:rFonts w:ascii="Arial" w:eastAsia="Arial" w:hAnsi="Arial" w:cs="Arial"/>
      <w:sz w:val="24"/>
      <w:szCs w:val="24"/>
    </w:rPr>
  </w:style>
  <w:style w:type="character" w:customStyle="1" w:styleId="afd">
    <w:name w:val="Таблица Знак"/>
    <w:basedOn w:val="a0"/>
    <w:link w:val="afe"/>
    <w:qFormat/>
    <w:rPr>
      <w:rFonts w:ascii="Arial" w:eastAsia="Times New Roman" w:hAnsi="Arial" w:cs="Arial"/>
      <w:sz w:val="24"/>
      <w:szCs w:val="24"/>
      <w:lang w:eastAsia="ru-RU"/>
    </w:rPr>
  </w:style>
  <w:style w:type="character" w:styleId="aff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3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InternetLink">
    <w:name w:val="Internet 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aff0">
    <w:name w:val="Ссылка указателя"/>
    <w:qFormat/>
  </w:style>
  <w:style w:type="character" w:styleId="aff1">
    <w:name w:val="Hyperlink"/>
    <w:rPr>
      <w:color w:val="000080"/>
      <w:u w:val="single"/>
    </w:rPr>
  </w:style>
  <w:style w:type="paragraph" w:customStyle="1" w:styleId="aff2">
    <w:name w:val="Заголовок"/>
    <w:basedOn w:val="a"/>
    <w:next w:val="a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c">
    <w:name w:val="Body Text"/>
    <w:basedOn w:val="a"/>
    <w:link w:val="afb"/>
    <w:uiPriority w:val="1"/>
    <w:qFormat/>
    <w:pPr>
      <w:widowControl w:val="0"/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styleId="aff3">
    <w:name w:val="List"/>
    <w:basedOn w:val="afc"/>
  </w:style>
  <w:style w:type="paragraph" w:styleId="aff4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5">
    <w:name w:val="index heading"/>
    <w:basedOn w:val="aff2"/>
  </w:style>
  <w:style w:type="paragraph" w:styleId="aff6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6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8">
    <w:name w:val="footnote text"/>
    <w:basedOn w:val="a"/>
    <w:link w:val="a7"/>
    <w:uiPriority w:val="99"/>
    <w:semiHidden/>
    <w:unhideWhenUsed/>
    <w:pPr>
      <w:spacing w:after="40" w:line="240" w:lineRule="auto"/>
    </w:pPr>
    <w:rPr>
      <w:sz w:val="18"/>
    </w:rPr>
  </w:style>
  <w:style w:type="paragraph" w:styleId="ab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7">
    <w:name w:val="table of figures"/>
    <w:basedOn w:val="a"/>
    <w:next w:val="a"/>
    <w:uiPriority w:val="99"/>
    <w:unhideWhenUsed/>
    <w:pPr>
      <w:spacing w:after="0"/>
    </w:pPr>
  </w:style>
  <w:style w:type="paragraph" w:styleId="ae">
    <w:name w:val="Balloon Text"/>
    <w:basedOn w:val="a"/>
    <w:link w:val="ad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8">
    <w:name w:val="Колонтитул"/>
    <w:basedOn w:val="a"/>
    <w:qFormat/>
  </w:style>
  <w:style w:type="paragraph" w:styleId="af0">
    <w:name w:val="head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 Spacing"/>
    <w:link w:val="af3"/>
    <w:uiPriority w:val="1"/>
    <w:qFormat/>
  </w:style>
  <w:style w:type="paragraph" w:styleId="af6">
    <w:name w:val="Subtitle"/>
    <w:basedOn w:val="a"/>
    <w:next w:val="a"/>
    <w:link w:val="af5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">
    <w:name w:val="Уровень 1"/>
    <w:basedOn w:val="af4"/>
    <w:link w:val="11"/>
    <w:qFormat/>
    <w:pPr>
      <w:spacing w:before="240" w:after="240" w:line="276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5">
    <w:name w:val="Уровень 2"/>
    <w:basedOn w:val="2"/>
    <w:qFormat/>
    <w:pPr>
      <w:spacing w:before="240" w:after="240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33330">
    <w:name w:val="Текст 3333"/>
    <w:basedOn w:val="a"/>
    <w:link w:val="3333"/>
    <w:qFormat/>
    <w:pPr>
      <w:spacing w:after="0"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8">
    <w:name w:val="Таблицы"/>
    <w:basedOn w:val="25"/>
    <w:link w:val="af7"/>
    <w:qFormat/>
    <w:pPr>
      <w:spacing w:before="120" w:after="120"/>
      <w:ind w:firstLine="709"/>
      <w:jc w:val="both"/>
      <w:outlineLvl w:val="9"/>
    </w:pPr>
    <w:rPr>
      <w:rFonts w:eastAsia="Times New Roman"/>
      <w:b w:val="0"/>
      <w:lang w:eastAsia="ru-RU"/>
    </w:rPr>
  </w:style>
  <w:style w:type="paragraph" w:customStyle="1" w:styleId="aff9">
    <w:name w:val="Тепснаб"/>
    <w:basedOn w:val="a"/>
    <w:uiPriority w:val="1"/>
    <w:qFormat/>
    <w:pPr>
      <w:widowControl w:val="0"/>
      <w:spacing w:before="120" w:after="12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afa">
    <w:name w:val="Рисунки"/>
    <w:basedOn w:val="af8"/>
    <w:link w:val="af9"/>
    <w:qFormat/>
    <w:pPr>
      <w:ind w:firstLine="0"/>
      <w:jc w:val="center"/>
    </w:pPr>
  </w:style>
  <w:style w:type="paragraph" w:customStyle="1" w:styleId="333330">
    <w:name w:val="Текст основной 33333"/>
    <w:basedOn w:val="a"/>
    <w:link w:val="33333"/>
    <w:qFormat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docdata">
    <w:name w:val="docdata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3332">
    <w:name w:val="Основ Текст 33333"/>
    <w:basedOn w:val="a"/>
    <w:link w:val="333331"/>
    <w:qFormat/>
    <w:pPr>
      <w:spacing w:after="0"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e">
    <w:name w:val="Таблица"/>
    <w:basedOn w:val="a"/>
    <w:link w:val="afd"/>
    <w:qFormat/>
    <w:pPr>
      <w:spacing w:before="120"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b">
    <w:name w:val="TOC Heading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styleId="14">
    <w:name w:val="toc 1"/>
    <w:basedOn w:val="a"/>
    <w:next w:val="a"/>
    <w:uiPriority w:val="39"/>
    <w:unhideWhenUsed/>
    <w:pPr>
      <w:spacing w:after="100"/>
    </w:pPr>
  </w:style>
  <w:style w:type="paragraph" w:styleId="26">
    <w:name w:val="toc 2"/>
    <w:basedOn w:val="a"/>
    <w:next w:val="a"/>
    <w:uiPriority w:val="39"/>
    <w:unhideWhenUsed/>
    <w:pPr>
      <w:tabs>
        <w:tab w:val="right" w:leader="dot" w:pos="9345"/>
      </w:tabs>
      <w:spacing w:after="100"/>
      <w:ind w:left="220"/>
      <w:jc w:val="both"/>
    </w:pPr>
  </w:style>
  <w:style w:type="numbering" w:customStyle="1" w:styleId="affc">
    <w:name w:val="Без списка"/>
    <w:uiPriority w:val="99"/>
    <w:semiHidden/>
    <w:unhideWhenUsed/>
    <w:qFormat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aliases w:val="Заголовок 1 Знак1"/>
    <w:basedOn w:val="a1"/>
    <w:link w:val="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basedOn w:val="a1"/>
    <w:link w:val="2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9" Type="http://schemas.openxmlformats.org/officeDocument/2006/relationships/footer" Target="footer31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34" Type="http://schemas.openxmlformats.org/officeDocument/2006/relationships/footer" Target="footer26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footer" Target="footer25.xml"/><Relationship Id="rId38" Type="http://schemas.openxmlformats.org/officeDocument/2006/relationships/footer" Target="footer30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oter" Target="footer21.xml"/><Relationship Id="rId41" Type="http://schemas.openxmlformats.org/officeDocument/2006/relationships/footer" Target="footer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footer" Target="footer24.xml"/><Relationship Id="rId37" Type="http://schemas.openxmlformats.org/officeDocument/2006/relationships/footer" Target="footer29.xml"/><Relationship Id="rId40" Type="http://schemas.openxmlformats.org/officeDocument/2006/relationships/footer" Target="footer32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36" Type="http://schemas.openxmlformats.org/officeDocument/2006/relationships/footer" Target="footer28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footer" Target="footer2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35" Type="http://schemas.openxmlformats.org/officeDocument/2006/relationships/footer" Target="footer27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8661F-F468-4D06-9326-A846641F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4216</Words>
  <Characters>24034</Characters>
  <Application>Microsoft Office Word</Application>
  <DocSecurity>0</DocSecurity>
  <Lines>200</Lines>
  <Paragraphs>56</Paragraphs>
  <ScaleCrop>false</ScaleCrop>
  <Company/>
  <LinksUpToDate>false</LinksUpToDate>
  <CharactersWithSpaces>28194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Чалых Анастасия Юрьевна</cp:lastModifiedBy>
  <cp:revision>5</cp:revision>
  <cp:lastPrinted>2024-08-14T12:59:00Z</cp:lastPrinted>
  <dcterms:created xsi:type="dcterms:W3CDTF">2024-08-12T11:00:00Z</dcterms:created>
  <dcterms:modified xsi:type="dcterms:W3CDTF">2024-08-14T13:10:00Z</dcterms:modified>
  <dc:language>ru-RU</dc:language>
</cp:coreProperties>
</file>