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2C53" w14:textId="77777777" w:rsidR="00326BC5" w:rsidRDefault="00326BC5" w:rsidP="00326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326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14:paraId="0E10488B" w14:textId="77777777" w:rsidR="008308A0" w:rsidRDefault="008308A0" w:rsidP="00830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финансов администрации </w:t>
      </w:r>
    </w:p>
    <w:p w14:paraId="21BBAE8D" w14:textId="77777777" w:rsidR="008308A0" w:rsidRDefault="008308A0" w:rsidP="00830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Грязинского муниципального района </w:t>
      </w:r>
    </w:p>
    <w:p w14:paraId="38241796" w14:textId="225D0701" w:rsidR="008308A0" w:rsidRPr="00B267F9" w:rsidRDefault="008308A0" w:rsidP="00830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29.06.2020г. № 42</w:t>
      </w:r>
      <w:r w:rsidRPr="00B2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5BA9B074" w14:textId="77777777" w:rsidR="008308A0" w:rsidRDefault="008308A0" w:rsidP="00326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E33F9D" w14:textId="77777777" w:rsidR="00326BC5" w:rsidRPr="00326BC5" w:rsidRDefault="00326BC5" w:rsidP="00326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0C2BFA" w14:textId="77777777" w:rsidR="00326BC5" w:rsidRDefault="00326BC5" w:rsidP="00DC6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FFC34D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2BF444A1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муниципального финансового контроля управления финансов администрации Грязинского муниципального района</w:t>
      </w:r>
      <w:r w:rsidRPr="00D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ланирование проверок, ревизий и обследований</w:t>
      </w:r>
      <w:r w:rsidRPr="00D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54F99E4B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A79D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6961EC39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037D9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Hlk893371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внутреннего муниципального финансового контроля </w:t>
      </w:r>
      <w:r w:rsidRPr="00DC6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финансов администрации Грязинского муниципального района </w:t>
      </w: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"Планирование проверок, ревизий и обследований" </w:t>
      </w:r>
      <w:bookmarkEnd w:id="0"/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государственного (муниципального) финансового контроля (далее соответственно - орган контроля, контрольные мероприятия).</w:t>
      </w:r>
    </w:p>
    <w:p w14:paraId="3F5B6450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14:paraId="30241AD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контрольных мероприятий;</w:t>
      </w:r>
    </w:p>
    <w:p w14:paraId="74278D43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14:paraId="2C6342A5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период;</w:t>
      </w:r>
    </w:p>
    <w:p w14:paraId="77007ECB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(дата) начала проведения контрольных мероприятий.</w:t>
      </w:r>
    </w:p>
    <w:p w14:paraId="690D1D31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14:paraId="3725CCEC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контроля вправе утвердить форму плана контрольных мероприятий.</w:t>
      </w:r>
    </w:p>
    <w:p w14:paraId="403357B2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</w:t>
      </w: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</w:t>
      </w:r>
      <w:hyperlink w:anchor="Par74" w:tooltip="11. При определении значения критерия &quot;вероятность&quot; и значения критерия &quot;существенность&quot; используется шкала оценок - &quot;низкая оценка&quot;, &quot;средняя оценка&quot; или &quot;высокая оценка&quot;. На основании анализа рисков - сочетания критерия &quot;вероятность&quot; и критерия &quot;существеннос" w:history="1">
        <w:r w:rsidRPr="00DC67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11</w:t>
        </w:r>
      </w:hyperlink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категориям риска.</w:t>
      </w:r>
    </w:p>
    <w:p w14:paraId="0CB818F7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14:paraId="0DA27248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6F0A0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Планирование контрольных мероприятий</w:t>
      </w:r>
    </w:p>
    <w:p w14:paraId="2149F402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2A7F3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контрольных мероприятий включает следующие этапы:</w:t>
      </w:r>
    </w:p>
    <w:p w14:paraId="2591EA19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исходных данных для составления проекта плана контрольных мероприятий;</w:t>
      </w:r>
    </w:p>
    <w:p w14:paraId="69CE8C3C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составление проекта плана контрольных мероприятий;</w:t>
      </w:r>
    </w:p>
    <w:p w14:paraId="33E6BAC1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утверждение плана контрольных мероприятий.</w:t>
      </w:r>
    </w:p>
    <w:p w14:paraId="3597599A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исходных данных для составления проекта плана контрольных мероприятий включает:</w:t>
      </w:r>
    </w:p>
    <w:p w14:paraId="0A553A79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сбор и анализ информации об объектах контроля;</w:t>
      </w:r>
    </w:p>
    <w:p w14:paraId="02B0D90D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14:paraId="558377D3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14:paraId="2F98CB06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числе автоматизированную проверку данных на </w:t>
      </w:r>
      <w:proofErr w:type="spellStart"/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14:paraId="13B168D8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</w:t>
      </w: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 w14:paraId="180FDAC5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определении значения критерия "вероятность" используется следующая информация:</w:t>
      </w:r>
    </w:p>
    <w:p w14:paraId="3348892A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4" w:tooltip="&quot;Бюджетный кодекс Российской Федерации&quot; от 31.07.1998 N 145-ФЗ (ред. от 08.06.2020){КонсультантПлюс}" w:history="1">
        <w:r w:rsidRPr="00DC67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160.2-1</w:t>
        </w:r>
      </w:hyperlink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14:paraId="00C2E2AF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14:paraId="4F7EFF8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14:paraId="561EDC54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14:paraId="78F75D7A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14:paraId="44C9FECA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14:paraId="144073C3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иная информация, необходимая при определении значения критерия "вероятность", установленная ведомственным стандартом органа контроля.</w:t>
      </w:r>
    </w:p>
    <w:p w14:paraId="07A5B44B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определении значения критерия "существенность" используется следующая информация:</w:t>
      </w:r>
    </w:p>
    <w:p w14:paraId="7B025A6A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14:paraId="2453850D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значимость мероприятий (мер муниципальной поддержки), в </w:t>
      </w: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которых возможно проведение контрольного мероприятия;</w:t>
      </w:r>
    </w:p>
    <w:p w14:paraId="332416F8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14:paraId="0A91FA5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14:paraId="1D3EAC8F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5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C67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пунктов 2</w:t>
        </w:r>
      </w:hyperlink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C67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 части 1 статьи 93</w:t>
        </w:r>
      </w:hyperlink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086EBD93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условия об исполнении контракта по этапам;</w:t>
      </w:r>
    </w:p>
    <w:p w14:paraId="1B6B58CB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условия о выплате аванса;</w:t>
      </w:r>
    </w:p>
    <w:p w14:paraId="003A138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14:paraId="4F0CDDB7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иная информация, необходимая при определении значения критерия "существенность", установленная ведомственным стандартом органа контроля.</w:t>
      </w:r>
    </w:p>
    <w:p w14:paraId="3BA298FD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4"/>
      <w:bookmarkEnd w:id="1"/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14:paraId="67D3EC29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14:paraId="4817E152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14:paraId="572BED5D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 w14:paraId="4B3DFC2D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риск - IV категория, если значение критерия "существенность" и </w:t>
      </w: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</w:p>
    <w:p w14:paraId="240019B3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</w:p>
    <w:p w14:paraId="32E6A937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14:paraId="55F67DD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14:paraId="6C479426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2"/>
      <w:bookmarkEnd w:id="2"/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типовым темам плановых контрольных мероприятий относятся:</w:t>
      </w:r>
    </w:p>
    <w:p w14:paraId="06C15E65" w14:textId="3A2CFA3B" w:rsidR="00CF23AB" w:rsidRPr="00CF23AB" w:rsidRDefault="00DC675F" w:rsidP="00CF23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89329561"/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F23AB" w:rsidRPr="00CF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осуществления расходов на обеспечение выполнения функций казенного учреждения органа местного самоуправления) и (или) их отражения в бюджетном учете и отчетности;</w:t>
      </w:r>
    </w:p>
    <w:p w14:paraId="152743B8" w14:textId="77777777" w:rsidR="000C0B05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F23AB" w:rsidRPr="00CF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осуществления расходов бюджета публично-правового образования на реализацию мероприятий муниципальной программы (подпрограммы, целевой программы), национального, федерального, регионального проектов</w:t>
      </w:r>
      <w:r w:rsid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D75B2F" w14:textId="6165B03F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14:paraId="0DD3221F" w14:textId="14178793" w:rsidR="000C0B05" w:rsidRPr="000C0B05" w:rsidRDefault="00DC675F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предоставления субсидий юридическим лицам (за исключением субсидий муниципальным</w:t>
      </w:r>
      <w:r w:rsidR="0011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 условий 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соглашений (договоров) об их предоставлении;</w:t>
      </w:r>
    </w:p>
    <w:p w14:paraId="2AC3B53D" w14:textId="2A44BFBA" w:rsidR="000C0B05" w:rsidRPr="000C0B05" w:rsidRDefault="0011456D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 </w:t>
      </w:r>
      <w:proofErr w:type="gramEnd"/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</w:p>
    <w:p w14:paraId="5AFCCFB3" w14:textId="4611EC23" w:rsidR="000C0B05" w:rsidRPr="000C0B05" w:rsidRDefault="0011456D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14:paraId="2FB8DD18" w14:textId="14455F32" w:rsidR="000C0B05" w:rsidRPr="000C0B05" w:rsidRDefault="0011456D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проверка исполнения бюджетных полномочий по администрированию доходов или источников финансирования дефицита местного бюджета;</w:t>
      </w:r>
    </w:p>
    <w:p w14:paraId="6206BE1B" w14:textId="3AEED5CD" w:rsidR="000C0B05" w:rsidRPr="000C0B05" w:rsidRDefault="0052611E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проверка (ревизия) финансово-хозяйственной деятельности объекта контроля;</w:t>
      </w:r>
    </w:p>
    <w:p w14:paraId="37B7EA3A" w14:textId="771F818E" w:rsidR="000C0B05" w:rsidRPr="000C0B05" w:rsidRDefault="0052611E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14:paraId="4DA4436D" w14:textId="1B95A85D" w:rsidR="000C0B05" w:rsidRPr="000C0B05" w:rsidRDefault="0052611E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проверка соблюдения порядка определения объема финансового обеспечения оказания муниципальной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муниципального заказа;</w:t>
      </w:r>
    </w:p>
    <w:p w14:paraId="016F1062" w14:textId="5117C5C4" w:rsidR="000C0B05" w:rsidRPr="000C0B05" w:rsidRDefault="0052611E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проверка целевого использования бюджетных ассигнований резервного фонда местной администрации;</w:t>
      </w:r>
    </w:p>
    <w:p w14:paraId="67C6B2A4" w14:textId="74909027" w:rsidR="000C0B05" w:rsidRPr="000C0B05" w:rsidRDefault="0052611E" w:rsidP="000C0B0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0B05" w:rsidRPr="000C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обследование соблюдения условий контрактов (договоров, соглашений), источником финансового обеспечения которых являются бюджетные средства или средства, предоставленные из бюджета публично-правового образования.</w:t>
      </w:r>
    </w:p>
    <w:bookmarkEnd w:id="3"/>
    <w:p w14:paraId="47FBA83A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 контроля вправе разработать ведомственный стандарт, определяющий требования к анализу рисков, который предусматривает перечни иной информации для определения значения критерия "вероятность" и значения критерия "существенность" и определяет дополнительные значения шкалы оценок значения критерия "существенность" и значения критерия "вероятность"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риск-ориентированного подхода.</w:t>
      </w:r>
    </w:p>
    <w:p w14:paraId="1C718473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</w:t>
      </w:r>
      <w:hyperlink w:anchor="Par82" w:tooltip="13. К типовым темам плановых контрольных мероприятий относятся:" w:history="1">
        <w:r w:rsidRPr="00DC67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13</w:t>
        </w:r>
      </w:hyperlink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типовых тем контрольных мероприятий в части предмета контроля и (или) указания на </w:t>
      </w: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объекты контроля в соответствии со </w:t>
      </w:r>
      <w:hyperlink r:id="rId7" w:tooltip="&quot;Бюджетный кодекс Российской Федерации&quot; от 31.07.1998 N 145-ФЗ (ред. от 08.06.2020){КонсультантПлюс}" w:history="1">
        <w:r w:rsidRPr="00DC67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266.1</w:t>
        </w:r>
      </w:hyperlink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49F2FF47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ar82" w:tooltip="13. К типовым темам плановых контрольных мероприятий относятся:" w:history="1">
        <w:r w:rsidRPr="00DC67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13</w:t>
        </w:r>
      </w:hyperlink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и в ведомственном стандарте органа контроля.</w:t>
      </w:r>
    </w:p>
    <w:p w14:paraId="0A3815EC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14:paraId="24ADAB05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14:paraId="35869FB5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14:paraId="08A9A1C6" w14:textId="458747A5" w:rsidR="00326BC5" w:rsidRPr="00326BC5" w:rsidRDefault="00DC675F" w:rsidP="00326B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75F">
        <w:rPr>
          <w:rFonts w:ascii="Times New Roman" w:hAnsi="Times New Roman" w:cs="Times New Roman"/>
          <w:sz w:val="28"/>
          <w:szCs w:val="28"/>
        </w:rPr>
        <w:t xml:space="preserve">16. </w:t>
      </w:r>
      <w:r w:rsidR="00326BC5" w:rsidRPr="00326BC5">
        <w:rPr>
          <w:rFonts w:ascii="Times New Roman" w:hAnsi="Times New Roman" w:cs="Times New Roman"/>
          <w:sz w:val="28"/>
          <w:szCs w:val="28"/>
        </w:rPr>
        <w:t>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учитывается</w:t>
      </w:r>
      <w:r w:rsidR="00232E39">
        <w:rPr>
          <w:rFonts w:ascii="Times New Roman" w:hAnsi="Times New Roman" w:cs="Times New Roman"/>
          <w:sz w:val="28"/>
          <w:szCs w:val="28"/>
        </w:rPr>
        <w:t xml:space="preserve"> с</w:t>
      </w:r>
      <w:r w:rsidR="00232E39" w:rsidRPr="00232E39">
        <w:t xml:space="preserve"> </w:t>
      </w:r>
      <w:r w:rsidR="00232E39">
        <w:rPr>
          <w:rFonts w:ascii="Times New Roman" w:hAnsi="Times New Roman" w:cs="Times New Roman"/>
          <w:sz w:val="28"/>
          <w:szCs w:val="28"/>
        </w:rPr>
        <w:t>п</w:t>
      </w:r>
      <w:r w:rsidR="00232E39" w:rsidRPr="00232E39">
        <w:rPr>
          <w:rFonts w:ascii="Times New Roman" w:hAnsi="Times New Roman" w:cs="Times New Roman"/>
          <w:sz w:val="28"/>
          <w:szCs w:val="28"/>
        </w:rPr>
        <w:t>ериодичность</w:t>
      </w:r>
      <w:r w:rsidR="00232E39">
        <w:rPr>
          <w:rFonts w:ascii="Times New Roman" w:hAnsi="Times New Roman" w:cs="Times New Roman"/>
          <w:sz w:val="28"/>
          <w:szCs w:val="28"/>
        </w:rPr>
        <w:t>ю</w:t>
      </w:r>
      <w:r w:rsidR="00232E39" w:rsidRPr="00232E39">
        <w:rPr>
          <w:rFonts w:ascii="Times New Roman" w:hAnsi="Times New Roman" w:cs="Times New Roman"/>
          <w:sz w:val="28"/>
          <w:szCs w:val="28"/>
        </w:rPr>
        <w:t xml:space="preserve"> проведения плановых контрольных мероприятий в отношении одного объекта контроля и одной темы контрольного мероприятия составляет не чаще 1 раза в год и не реже 1 раза в 3 года</w:t>
      </w:r>
      <w:r w:rsidR="003022C4">
        <w:rPr>
          <w:rFonts w:ascii="Times New Roman" w:hAnsi="Times New Roman" w:cs="Times New Roman"/>
          <w:sz w:val="28"/>
          <w:szCs w:val="28"/>
        </w:rPr>
        <w:t>, а также учитывается</w:t>
      </w:r>
      <w:r w:rsidR="00326BC5" w:rsidRPr="00326BC5">
        <w:rPr>
          <w:rFonts w:ascii="Times New Roman" w:hAnsi="Times New Roman" w:cs="Times New Roman"/>
          <w:sz w:val="28"/>
          <w:szCs w:val="28"/>
        </w:rPr>
        <w:t xml:space="preserve"> необходимость безусловного и первоочередного включения в проект плана контрольных мероприятий объектов контроля на основании поручений руководителя органа местного самоуправления </w:t>
      </w:r>
      <w:r w:rsidR="00326BC5">
        <w:rPr>
          <w:rFonts w:ascii="Times New Roman" w:hAnsi="Times New Roman" w:cs="Times New Roman"/>
          <w:sz w:val="28"/>
          <w:szCs w:val="28"/>
        </w:rPr>
        <w:t xml:space="preserve">Грязинского </w:t>
      </w:r>
      <w:r w:rsidR="00326BC5" w:rsidRPr="00326BC5">
        <w:rPr>
          <w:rFonts w:ascii="Times New Roman" w:hAnsi="Times New Roman" w:cs="Times New Roman"/>
          <w:sz w:val="28"/>
          <w:szCs w:val="28"/>
        </w:rPr>
        <w:t>муниципального района.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14:paraId="6EAFD330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контрольных мероприятий должен быть утвержден до завершения года, предшествующего планируемому году.</w:t>
      </w:r>
    </w:p>
    <w:p w14:paraId="6A45C35C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14:paraId="1164820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14:paraId="57DE2090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14:paraId="7F94071B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14:paraId="6CE18BFE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14:paraId="23C492C6" w14:textId="77777777" w:rsidR="00DC675F" w:rsidRPr="00DC675F" w:rsidRDefault="00DC675F" w:rsidP="00DC67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реорганизацией, ликвидацией объектов контроля.</w:t>
      </w:r>
    </w:p>
    <w:p w14:paraId="473F8760" w14:textId="77777777" w:rsidR="00B8753C" w:rsidRPr="00DC675F" w:rsidRDefault="00B8753C">
      <w:pPr>
        <w:rPr>
          <w:rFonts w:ascii="Times New Roman" w:hAnsi="Times New Roman" w:cs="Times New Roman"/>
          <w:sz w:val="28"/>
          <w:szCs w:val="28"/>
        </w:rPr>
      </w:pPr>
    </w:p>
    <w:sectPr w:rsidR="00B8753C" w:rsidRPr="00DC675F" w:rsidSect="0032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5F"/>
    <w:rsid w:val="000C0B05"/>
    <w:rsid w:val="0011456D"/>
    <w:rsid w:val="001C6F68"/>
    <w:rsid w:val="00232E39"/>
    <w:rsid w:val="002C2B0E"/>
    <w:rsid w:val="003022C4"/>
    <w:rsid w:val="00326BC5"/>
    <w:rsid w:val="003F7C46"/>
    <w:rsid w:val="0052611E"/>
    <w:rsid w:val="005B2C7E"/>
    <w:rsid w:val="007A2417"/>
    <w:rsid w:val="008308A0"/>
    <w:rsid w:val="008C6DCA"/>
    <w:rsid w:val="00AA7227"/>
    <w:rsid w:val="00B57FE4"/>
    <w:rsid w:val="00B8753C"/>
    <w:rsid w:val="00BF576F"/>
    <w:rsid w:val="00C836AD"/>
    <w:rsid w:val="00CF23AB"/>
    <w:rsid w:val="00DC675F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BCC"/>
  <w15:chartTrackingRefBased/>
  <w15:docId w15:val="{17FA3024-AD19-4931-B045-54DBC6E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0B0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BBF439A49B2D4D02901D8E95CD83B38F3665491F549EBE473CB1DE813F5E4F0FAD8E31CF9D94F5D97568D7E271AD22D38A4EB0FAAWCw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BBF439A49B2D4D02901D8E95CD83B38F3665493FD49EBE473CB1DE813F5E4F0FAD8E913F8D110588247D5702404CC2B20B8E90DWAw8I" TargetMode="External"/><Relationship Id="rId5" Type="http://schemas.openxmlformats.org/officeDocument/2006/relationships/hyperlink" Target="consultantplus://offline/ref=A41BBF439A49B2D4D02901D8E95CD83B38F3665493FD49EBE473CB1DE813F5E4F0FAD8E11BFED84F5D97568D7E271AD22D38A4EB0FAAWCw2I" TargetMode="External"/><Relationship Id="rId4" Type="http://schemas.openxmlformats.org/officeDocument/2006/relationships/hyperlink" Target="consultantplus://offline/ref=A41BBF439A49B2D4D02901D8E95CD83B38F3665491F549EBE473CB1DE813F5E4F0FAD8E412F9D24F5D97568D7E271AD22D38A4EB0FAAWCw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User</cp:lastModifiedBy>
  <cp:revision>6</cp:revision>
  <cp:lastPrinted>2020-07-23T11:03:00Z</cp:lastPrinted>
  <dcterms:created xsi:type="dcterms:W3CDTF">2020-07-14T11:53:00Z</dcterms:created>
  <dcterms:modified xsi:type="dcterms:W3CDTF">2021-12-02T11:23:00Z</dcterms:modified>
</cp:coreProperties>
</file>