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EBE" w14:textId="77777777" w:rsidR="0062372F" w:rsidRDefault="0062372F" w:rsidP="00401CAF">
      <w:pPr>
        <w:pStyle w:val="a3"/>
        <w:ind w:left="309" w:right="351"/>
        <w:jc w:val="center"/>
        <w:rPr>
          <w:rFonts w:ascii="Times New Roman" w:hAnsi="Times New Roman" w:cs="Times New Roman"/>
          <w:color w:val="080808"/>
          <w:spacing w:val="63"/>
          <w:sz w:val="28"/>
          <w:szCs w:val="28"/>
        </w:rPr>
      </w:pPr>
    </w:p>
    <w:p w14:paraId="172D0559" w14:textId="77777777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0542399"/>
      <w:r w:rsidRPr="009F102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14:paraId="3532DF87" w14:textId="77777777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B620B8" w14:textId="77777777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123B84" w14:textId="700FD22E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по управлению финансов администрации Грязинского</w:t>
      </w:r>
    </w:p>
    <w:p w14:paraId="7781F66A" w14:textId="77777777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4FD73AF1" w14:textId="77777777" w:rsidR="009F1020" w:rsidRPr="009F1020" w:rsidRDefault="009F1020" w:rsidP="00EF6553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D01E6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E9FEF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8A6353" w14:textId="766AEE23" w:rsidR="009F1020" w:rsidRPr="009F1020" w:rsidRDefault="00430E29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>. 202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г. Грязи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74113646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5C1470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88F404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060370" w14:textId="7DB1799D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принятии </w:t>
      </w:r>
      <w:r w:rsidR="00FF7C45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>стандарт</w:t>
      </w:r>
      <w:r w:rsidR="00430E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CBEAC30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муниципального </w:t>
      </w:r>
    </w:p>
    <w:p w14:paraId="39E098BC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</w:t>
      </w:r>
    </w:p>
    <w:p w14:paraId="78504254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0D8F25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395762" w14:textId="4CA6B63F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F1020">
          <w:rPr>
            <w:rFonts w:ascii="Times New Roman" w:hAnsi="Times New Roman" w:cs="Times New Roman"/>
            <w:sz w:val="28"/>
            <w:szCs w:val="28"/>
            <w:lang w:eastAsia="ru-RU"/>
          </w:rPr>
          <w:t>пунктом 3 статьи 269.2</w:t>
        </w:r>
      </w:hyperlink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7C45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14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F65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553"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="00EF65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6553"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</w:t>
      </w:r>
      <w:r w:rsidR="00EF6553" w:rsidRPr="00DC6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финансов администрации Грязинского муниципального района </w:t>
      </w:r>
      <w:r w:rsidR="00EF6553" w:rsidRPr="00D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проверок, ревизий и обследований" 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14:paraId="73DA1561" w14:textId="50DFD986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1. Утвердить прилагаемы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C45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>стандарт внутреннего муниципального финансового контроля управления финансов администрации Грязинского муниципального района</w:t>
      </w:r>
      <w:r w:rsidR="00EF6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553" w:rsidRPr="002035B1">
        <w:rPr>
          <w:rFonts w:ascii="Times New Roman" w:hAnsi="Times New Roman" w:cs="Times New Roman"/>
          <w:w w:val="95"/>
          <w:sz w:val="28"/>
          <w:szCs w:val="28"/>
        </w:rPr>
        <w:t>«Применение</w:t>
      </w:r>
      <w:r w:rsidR="00EF6553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риск </w:t>
      </w:r>
      <w:r w:rsidR="00EF6553" w:rsidRPr="002035B1">
        <w:rPr>
          <w:rFonts w:ascii="Times New Roman" w:hAnsi="Times New Roman" w:cs="Times New Roman"/>
          <w:color w:val="424242"/>
          <w:w w:val="95"/>
          <w:sz w:val="28"/>
          <w:szCs w:val="28"/>
        </w:rPr>
        <w:t>-</w:t>
      </w:r>
      <w:r w:rsidR="00EF6553" w:rsidRPr="002035B1">
        <w:rPr>
          <w:rFonts w:ascii="Times New Roman" w:hAnsi="Times New Roman" w:cs="Times New Roman"/>
          <w:color w:val="424242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ориентированного </w:t>
      </w:r>
      <w:r w:rsidR="00EF6553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подхода</w:t>
      </w:r>
      <w:r w:rsidR="00EF6553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при </w:t>
      </w:r>
      <w:r w:rsidR="00EF6553" w:rsidRPr="002035B1">
        <w:rPr>
          <w:rFonts w:ascii="Times New Roman" w:hAnsi="Times New Roman" w:cs="Times New Roman"/>
          <w:color w:val="0C0C0C"/>
          <w:w w:val="95"/>
          <w:sz w:val="28"/>
          <w:szCs w:val="28"/>
        </w:rPr>
        <w:t>осуществлении</w:t>
      </w:r>
      <w:r w:rsidR="00EF6553" w:rsidRPr="002035B1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планирования</w:t>
      </w:r>
      <w:r w:rsidR="00EF6553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61616"/>
          <w:w w:val="95"/>
          <w:sz w:val="28"/>
          <w:szCs w:val="28"/>
        </w:rPr>
        <w:t>контрольных</w:t>
      </w:r>
      <w:r w:rsidR="00EF6553" w:rsidRPr="002035B1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EF6553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F1F1F"/>
          <w:w w:val="95"/>
          <w:sz w:val="28"/>
          <w:szCs w:val="28"/>
        </w:rPr>
        <w:t>по</w:t>
      </w:r>
      <w:r w:rsidR="00EF6553" w:rsidRPr="002035B1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w w:val="95"/>
          <w:sz w:val="28"/>
          <w:szCs w:val="28"/>
        </w:rPr>
        <w:t>внутреннему</w:t>
      </w:r>
      <w:r w:rsidR="00EF6553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муниципальному</w:t>
      </w:r>
      <w:r w:rsidR="00EF6553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финансовому</w:t>
      </w:r>
      <w:r w:rsidR="00EF6553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EF6553" w:rsidRPr="002035B1">
        <w:rPr>
          <w:rFonts w:ascii="Times New Roman" w:hAnsi="Times New Roman" w:cs="Times New Roman"/>
          <w:color w:val="1A1A1A"/>
          <w:w w:val="95"/>
          <w:sz w:val="28"/>
          <w:szCs w:val="28"/>
        </w:rPr>
        <w:t>контролю»</w:t>
      </w:r>
      <w:r w:rsidR="00EF6553">
        <w:rPr>
          <w:rFonts w:ascii="Times New Roman" w:hAnsi="Times New Roman" w:cs="Times New Roman"/>
          <w:color w:val="1A1A1A"/>
          <w:w w:val="95"/>
          <w:sz w:val="28"/>
          <w:szCs w:val="28"/>
        </w:rPr>
        <w:t>.</w:t>
      </w:r>
    </w:p>
    <w:p w14:paraId="71E275A0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75F9B" w14:textId="731C3A5B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приказ вступает в силу с 1 </w:t>
      </w:r>
      <w:r w:rsidR="00430E29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430E2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6AB871D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6B3A28" w14:textId="41A998F0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приказа оставляю за собой. </w:t>
      </w:r>
    </w:p>
    <w:p w14:paraId="65A2C31B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23D3F4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86F5C1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EDD34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C909E6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8DC00E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DAA8A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540E41" w14:textId="4DC5CC2E" w:rsidR="009F1020" w:rsidRPr="009F1020" w:rsidRDefault="00430E29" w:rsidP="00430E29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финансов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Муратова</w:t>
      </w:r>
      <w:r w:rsidR="009F1020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5EB3AE34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2E2ED928" w14:textId="77777777" w:rsidR="009F1020" w:rsidRPr="009F1020" w:rsidRDefault="009F1020" w:rsidP="009F1020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724A26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70A5F2D6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BD198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D94CF1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2A0C6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AEBA1A" w14:textId="77777777" w:rsidR="00430E29" w:rsidRDefault="00430E29" w:rsidP="006237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8CA6F4" w14:textId="441E7657" w:rsidR="0062372F" w:rsidRPr="0062372F" w:rsidRDefault="0062372F" w:rsidP="0062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6237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060400C" w14:textId="77777777" w:rsidR="0062372F" w:rsidRPr="0062372F" w:rsidRDefault="0062372F" w:rsidP="0062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62372F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14:paraId="62CA2F96" w14:textId="77777777" w:rsidR="0062372F" w:rsidRPr="0062372F" w:rsidRDefault="0062372F" w:rsidP="0062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62372F">
        <w:rPr>
          <w:rFonts w:ascii="Times New Roman" w:hAnsi="Times New Roman" w:cs="Times New Roman"/>
          <w:sz w:val="24"/>
          <w:szCs w:val="24"/>
        </w:rPr>
        <w:t xml:space="preserve"> администрации Грязинского </w:t>
      </w:r>
    </w:p>
    <w:p w14:paraId="52DE9581" w14:textId="01908335" w:rsidR="0062372F" w:rsidRPr="0062372F" w:rsidRDefault="0062372F" w:rsidP="0062372F">
      <w:pPr>
        <w:jc w:val="right"/>
        <w:rPr>
          <w:rFonts w:ascii="Times New Roman" w:hAnsi="Times New Roman" w:cs="Times New Roman"/>
          <w:sz w:val="24"/>
          <w:szCs w:val="24"/>
        </w:rPr>
      </w:pPr>
      <w:r w:rsidRPr="0062372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0064972" w14:textId="565A933E" w:rsidR="0062372F" w:rsidRPr="00FF7C45" w:rsidRDefault="0062372F" w:rsidP="0062372F">
      <w:pPr>
        <w:jc w:val="right"/>
        <w:rPr>
          <w:u w:val="single"/>
        </w:rPr>
      </w:pPr>
      <w:r>
        <w:t xml:space="preserve"> </w:t>
      </w:r>
      <w:r w:rsidRPr="00FF7C45">
        <w:rPr>
          <w:u w:val="single"/>
        </w:rPr>
        <w:t>от</w:t>
      </w:r>
      <w:r w:rsidR="00FF7C45" w:rsidRPr="00FF7C45">
        <w:rPr>
          <w:u w:val="single"/>
        </w:rPr>
        <w:t xml:space="preserve"> 26ноября 2021г. </w:t>
      </w:r>
      <w:r w:rsidRPr="00FF7C45">
        <w:rPr>
          <w:u w:val="single"/>
        </w:rPr>
        <w:t xml:space="preserve">№ </w:t>
      </w:r>
      <w:r w:rsidR="00FF7C45" w:rsidRPr="00FF7C45">
        <w:rPr>
          <w:u w:val="single"/>
        </w:rPr>
        <w:t>68</w:t>
      </w:r>
    </w:p>
    <w:p w14:paraId="7EF9DF17" w14:textId="77777777" w:rsidR="005B075C" w:rsidRDefault="005B075C" w:rsidP="00623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540942" w14:textId="77777777" w:rsidR="005B075C" w:rsidRDefault="005B075C" w:rsidP="00623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D7515" w14:textId="77777777" w:rsidR="005B075C" w:rsidRDefault="005B075C" w:rsidP="00623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33249" w14:textId="1323637C" w:rsidR="00401CAF" w:rsidRPr="0062372F" w:rsidRDefault="00FF7C45" w:rsidP="002035B1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401CAF" w:rsidRPr="0062372F">
        <w:rPr>
          <w:rFonts w:ascii="Times New Roman" w:hAnsi="Times New Roman" w:cs="Times New Roman"/>
          <w:sz w:val="28"/>
          <w:szCs w:val="28"/>
        </w:rPr>
        <w:t>СТАНДАРТ</w:t>
      </w:r>
    </w:p>
    <w:p w14:paraId="124E1A12" w14:textId="7B6E97B1" w:rsidR="00401CAF" w:rsidRPr="0062372F" w:rsidRDefault="00401CAF" w:rsidP="002035B1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2372F">
        <w:rPr>
          <w:rFonts w:ascii="Times New Roman" w:hAnsi="Times New Roman" w:cs="Times New Roman"/>
          <w:w w:val="90"/>
          <w:sz w:val="28"/>
          <w:szCs w:val="28"/>
        </w:rPr>
        <w:t>внутреннего</w:t>
      </w:r>
      <w:r w:rsidRPr="0062372F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31313"/>
          <w:w w:val="90"/>
          <w:sz w:val="28"/>
          <w:szCs w:val="28"/>
        </w:rPr>
        <w:t>муниципального</w:t>
      </w:r>
      <w:r w:rsidRPr="0062372F">
        <w:rPr>
          <w:rFonts w:ascii="Times New Roman" w:hAnsi="Times New Roman" w:cs="Times New Roman"/>
          <w:color w:val="131313"/>
          <w:spacing w:val="36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31313"/>
          <w:w w:val="90"/>
          <w:sz w:val="28"/>
          <w:szCs w:val="28"/>
        </w:rPr>
        <w:t>финансового контроля Управления финансов администрации Грязинского муниципального района</w:t>
      </w:r>
    </w:p>
    <w:p w14:paraId="594AE4D4" w14:textId="240114EB" w:rsidR="00401CAF" w:rsidRPr="00401CAF" w:rsidRDefault="00401CAF" w:rsidP="002035B1">
      <w:pPr>
        <w:ind w:left="851"/>
        <w:jc w:val="center"/>
      </w:pPr>
      <w:r w:rsidRPr="0062372F">
        <w:rPr>
          <w:rFonts w:ascii="Times New Roman" w:hAnsi="Times New Roman" w:cs="Times New Roman"/>
          <w:w w:val="95"/>
          <w:sz w:val="28"/>
          <w:szCs w:val="28"/>
        </w:rPr>
        <w:t>«Применение</w:t>
      </w:r>
      <w:r w:rsidRPr="006237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риск </w:t>
      </w:r>
      <w:r w:rsidRPr="0062372F">
        <w:rPr>
          <w:rFonts w:ascii="Times New Roman" w:hAnsi="Times New Roman" w:cs="Times New Roman"/>
          <w:color w:val="3A3A3A"/>
          <w:w w:val="95"/>
          <w:sz w:val="28"/>
          <w:szCs w:val="28"/>
        </w:rPr>
        <w:t xml:space="preserve">- </w:t>
      </w:r>
      <w:r w:rsidRPr="0062372F">
        <w:rPr>
          <w:rFonts w:ascii="Times New Roman" w:hAnsi="Times New Roman" w:cs="Times New Roman"/>
          <w:color w:val="111111"/>
          <w:w w:val="95"/>
          <w:sz w:val="28"/>
          <w:szCs w:val="28"/>
        </w:rPr>
        <w:t>ориентированного подхода</w:t>
      </w:r>
      <w:r w:rsidRPr="0062372F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при </w:t>
      </w:r>
      <w:r w:rsidRPr="0062372F">
        <w:rPr>
          <w:rFonts w:ascii="Times New Roman" w:hAnsi="Times New Roman" w:cs="Times New Roman"/>
          <w:color w:val="111111"/>
          <w:w w:val="95"/>
          <w:sz w:val="28"/>
          <w:szCs w:val="28"/>
        </w:rPr>
        <w:t>осуществлении</w:t>
      </w:r>
      <w:r w:rsidRPr="0062372F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w w:val="90"/>
          <w:sz w:val="28"/>
          <w:szCs w:val="28"/>
        </w:rPr>
        <w:t>планирования</w:t>
      </w:r>
      <w:r w:rsidRPr="006237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0C0C0C"/>
          <w:w w:val="90"/>
          <w:sz w:val="28"/>
          <w:szCs w:val="28"/>
        </w:rPr>
        <w:t>контрольных</w:t>
      </w:r>
      <w:r w:rsidRPr="0062372F">
        <w:rPr>
          <w:rFonts w:ascii="Times New Roman" w:hAnsi="Times New Roman" w:cs="Times New Roman"/>
          <w:color w:val="0C0C0C"/>
          <w:spacing w:val="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w w:val="90"/>
          <w:sz w:val="28"/>
          <w:szCs w:val="28"/>
        </w:rPr>
        <w:t>мероприятий</w:t>
      </w:r>
      <w:r w:rsidRPr="006237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81818"/>
          <w:w w:val="90"/>
          <w:sz w:val="28"/>
          <w:szCs w:val="28"/>
        </w:rPr>
        <w:t>по</w:t>
      </w:r>
      <w:r w:rsidRPr="0062372F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0C0C0C"/>
          <w:w w:val="90"/>
          <w:sz w:val="28"/>
          <w:szCs w:val="28"/>
        </w:rPr>
        <w:t>внутреннему</w:t>
      </w:r>
      <w:r w:rsidRPr="0062372F">
        <w:rPr>
          <w:rFonts w:ascii="Times New Roman" w:hAnsi="Times New Roman" w:cs="Times New Roman"/>
          <w:color w:val="0C0C0C"/>
          <w:spacing w:val="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11111"/>
          <w:w w:val="90"/>
          <w:sz w:val="28"/>
          <w:szCs w:val="28"/>
        </w:rPr>
        <w:t>муниципальному</w:t>
      </w:r>
      <w:r w:rsidRPr="0062372F">
        <w:rPr>
          <w:rFonts w:ascii="Times New Roman" w:hAnsi="Times New Roman" w:cs="Times New Roman"/>
          <w:color w:val="111111"/>
          <w:spacing w:val="-51"/>
          <w:w w:val="90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0F0F0F"/>
          <w:sz w:val="28"/>
          <w:szCs w:val="28"/>
        </w:rPr>
        <w:t>финансовому</w:t>
      </w:r>
      <w:r w:rsidRPr="0062372F">
        <w:rPr>
          <w:rFonts w:ascii="Times New Roman" w:hAnsi="Times New Roman" w:cs="Times New Roman"/>
          <w:color w:val="0F0F0F"/>
          <w:spacing w:val="48"/>
          <w:sz w:val="28"/>
          <w:szCs w:val="28"/>
        </w:rPr>
        <w:t xml:space="preserve"> </w:t>
      </w:r>
      <w:r w:rsidRPr="0062372F">
        <w:rPr>
          <w:rFonts w:ascii="Times New Roman" w:hAnsi="Times New Roman" w:cs="Times New Roman"/>
          <w:color w:val="111111"/>
          <w:sz w:val="28"/>
          <w:szCs w:val="28"/>
        </w:rPr>
        <w:t>контролю</w:t>
      </w:r>
      <w:r w:rsidRPr="00401CAF">
        <w:rPr>
          <w:color w:val="111111"/>
        </w:rPr>
        <w:t>»</w:t>
      </w:r>
    </w:p>
    <w:p w14:paraId="29396D03" w14:textId="77777777" w:rsidR="00401CAF" w:rsidRPr="00401CAF" w:rsidRDefault="00401CAF" w:rsidP="002035B1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1B17D752" w14:textId="77777777" w:rsidR="00401CAF" w:rsidRPr="00401CAF" w:rsidRDefault="00401CAF" w:rsidP="002035B1">
      <w:pPr>
        <w:pStyle w:val="a3"/>
        <w:spacing w:before="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14F91DC" w14:textId="66FEBAA4" w:rsidR="00401CAF" w:rsidRDefault="002035B1" w:rsidP="002035B1">
      <w:pPr>
        <w:ind w:left="851" w:firstLine="567"/>
        <w:jc w:val="both"/>
        <w:rPr>
          <w:rFonts w:ascii="Times New Roman" w:hAnsi="Times New Roman" w:cs="Times New Roman"/>
          <w:color w:val="111111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1.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Стандарт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F7C4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ведомственного </w:t>
      </w:r>
      <w:r w:rsidR="00401CAF" w:rsidRPr="002035B1">
        <w:rPr>
          <w:rFonts w:ascii="Times New Roman" w:hAnsi="Times New Roman" w:cs="Times New Roman"/>
          <w:color w:val="0F0F0F"/>
          <w:w w:val="95"/>
          <w:sz w:val="28"/>
          <w:szCs w:val="28"/>
        </w:rPr>
        <w:t>внутреннего</w:t>
      </w:r>
      <w:r w:rsidR="00401CAF" w:rsidRPr="002035B1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финансового</w:t>
      </w:r>
      <w:r w:rsidR="00401CAF" w:rsidRPr="002035B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C86916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Управления финансов администрации Грязинского муниципального района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«Применение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риск </w:t>
      </w:r>
      <w:r w:rsidR="00401CAF" w:rsidRPr="002035B1">
        <w:rPr>
          <w:rFonts w:ascii="Times New Roman" w:hAnsi="Times New Roman" w:cs="Times New Roman"/>
          <w:color w:val="424242"/>
          <w:w w:val="95"/>
          <w:sz w:val="28"/>
          <w:szCs w:val="28"/>
        </w:rPr>
        <w:t>-</w:t>
      </w:r>
      <w:r w:rsidR="00401CAF" w:rsidRPr="002035B1">
        <w:rPr>
          <w:rFonts w:ascii="Times New Roman" w:hAnsi="Times New Roman" w:cs="Times New Roman"/>
          <w:color w:val="424242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ориентированного </w:t>
      </w:r>
      <w:r w:rsidR="00401CAF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подхода</w:t>
      </w:r>
      <w:r w:rsidR="00401CAF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при </w:t>
      </w:r>
      <w:r w:rsidR="00401CAF" w:rsidRPr="002035B1">
        <w:rPr>
          <w:rFonts w:ascii="Times New Roman" w:hAnsi="Times New Roman" w:cs="Times New Roman"/>
          <w:color w:val="0C0C0C"/>
          <w:w w:val="95"/>
          <w:sz w:val="28"/>
          <w:szCs w:val="28"/>
        </w:rPr>
        <w:t>осуществлении</w:t>
      </w:r>
      <w:r w:rsidR="00401CAF" w:rsidRPr="002035B1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планирования</w:t>
      </w:r>
      <w:r w:rsidR="00401CAF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61616"/>
          <w:w w:val="95"/>
          <w:sz w:val="28"/>
          <w:szCs w:val="28"/>
        </w:rPr>
        <w:t>контрольных</w:t>
      </w:r>
      <w:r w:rsidR="00401CAF" w:rsidRPr="002035B1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F1F1F"/>
          <w:w w:val="95"/>
          <w:sz w:val="28"/>
          <w:szCs w:val="28"/>
        </w:rPr>
        <w:t>по</w:t>
      </w:r>
      <w:r w:rsidR="00401CAF" w:rsidRPr="002035B1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внутреннему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муниципальному</w:t>
      </w:r>
      <w:r w:rsidR="00401CAF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финансовому</w:t>
      </w:r>
      <w:r w:rsidR="00401CAF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A1A1A"/>
          <w:w w:val="95"/>
          <w:sz w:val="28"/>
          <w:szCs w:val="28"/>
        </w:rPr>
        <w:t>контролю»</w:t>
      </w:r>
      <w:r w:rsidR="00401CAF" w:rsidRPr="002035B1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525252"/>
          <w:w w:val="95"/>
          <w:sz w:val="28"/>
          <w:szCs w:val="28"/>
        </w:rPr>
        <w:t>—</w:t>
      </w:r>
      <w:r w:rsidR="00401CAF" w:rsidRPr="002035B1">
        <w:rPr>
          <w:rFonts w:ascii="Times New Roman" w:hAnsi="Times New Roman" w:cs="Times New Roman"/>
          <w:color w:val="212121"/>
          <w:w w:val="95"/>
          <w:sz w:val="28"/>
          <w:szCs w:val="28"/>
        </w:rPr>
        <w:t>стандарт),</w:t>
      </w:r>
      <w:r w:rsidR="00401CAF" w:rsidRPr="002035B1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32323"/>
          <w:w w:val="95"/>
          <w:sz w:val="28"/>
          <w:szCs w:val="28"/>
        </w:rPr>
        <w:t>определяет</w:t>
      </w:r>
      <w:r w:rsidR="00401CAF" w:rsidRPr="002035B1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требования</w:t>
      </w:r>
      <w:r w:rsidR="00401CAF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D2D2D"/>
          <w:w w:val="95"/>
          <w:sz w:val="28"/>
          <w:szCs w:val="28"/>
        </w:rPr>
        <w:t>к</w:t>
      </w:r>
      <w:r w:rsidR="00401CAF" w:rsidRPr="002035B1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анализу</w:t>
      </w:r>
      <w:r w:rsidR="00401CAF" w:rsidRPr="002035B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C0C0C"/>
          <w:w w:val="95"/>
          <w:sz w:val="28"/>
          <w:szCs w:val="28"/>
        </w:rPr>
        <w:t>рисков</w:t>
      </w:r>
      <w:r w:rsidR="00401CAF" w:rsidRPr="002035B1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при</w:t>
      </w:r>
      <w:r w:rsidR="00401CAF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51515"/>
          <w:w w:val="95"/>
          <w:sz w:val="28"/>
          <w:szCs w:val="28"/>
        </w:rPr>
        <w:t>составлении</w:t>
      </w:r>
      <w:r w:rsidR="00401CAF" w:rsidRPr="002035B1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проекта</w:t>
      </w:r>
      <w:r w:rsidR="00401CAF" w:rsidRPr="002035B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32323"/>
          <w:w w:val="95"/>
          <w:sz w:val="28"/>
          <w:szCs w:val="28"/>
        </w:rPr>
        <w:t>плана</w:t>
      </w:r>
      <w:r w:rsidR="00401CAF" w:rsidRPr="002035B1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контрольных</w:t>
      </w:r>
      <w:r w:rsidR="00401CAF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sz w:val="28"/>
          <w:szCs w:val="28"/>
        </w:rPr>
        <w:t>мероприятий</w:t>
      </w:r>
      <w:r w:rsidR="00401CAF" w:rsidRPr="002035B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="00401CAF" w:rsidRPr="002035B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sz w:val="28"/>
          <w:szCs w:val="28"/>
        </w:rPr>
        <w:t>применением</w:t>
      </w:r>
      <w:r w:rsidR="00401CAF" w:rsidRPr="002035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sz w:val="28"/>
          <w:szCs w:val="28"/>
        </w:rPr>
        <w:t>риск</w:t>
      </w:r>
      <w:r w:rsidR="00401CAF" w:rsidRPr="002035B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3B3B3B"/>
          <w:sz w:val="28"/>
          <w:szCs w:val="28"/>
        </w:rPr>
        <w:t>-</w:t>
      </w:r>
      <w:r w:rsidR="00401CAF" w:rsidRPr="002035B1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C0C0C"/>
          <w:sz w:val="28"/>
          <w:szCs w:val="28"/>
        </w:rPr>
        <w:t>ориентированного</w:t>
      </w:r>
      <w:r w:rsidR="00401CAF" w:rsidRPr="002035B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sz w:val="28"/>
          <w:szCs w:val="28"/>
        </w:rPr>
        <w:t>подхода,</w:t>
      </w:r>
      <w:r w:rsidR="00401CAF" w:rsidRPr="002035B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3A3A3A"/>
          <w:sz w:val="28"/>
          <w:szCs w:val="28"/>
        </w:rPr>
        <w:t>а</w:t>
      </w:r>
      <w:r w:rsidR="00401CAF" w:rsidRPr="002035B1">
        <w:rPr>
          <w:rFonts w:ascii="Times New Roman" w:hAnsi="Times New Roman" w:cs="Times New Roman"/>
          <w:color w:val="3A3A3A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62626"/>
          <w:sz w:val="28"/>
          <w:szCs w:val="28"/>
        </w:rPr>
        <w:t>также</w:t>
      </w:r>
      <w:r w:rsidR="00401CAF" w:rsidRPr="002035B1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51515"/>
          <w:w w:val="95"/>
          <w:sz w:val="28"/>
          <w:szCs w:val="28"/>
        </w:rPr>
        <w:t>определяет</w:t>
      </w:r>
      <w:r w:rsidR="00401CAF" w:rsidRPr="002035B1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типовые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темы</w:t>
      </w:r>
      <w:r w:rsidR="00401CAF" w:rsidRPr="002035B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плановых</w:t>
      </w:r>
      <w:r w:rsidR="00401CAF" w:rsidRPr="002035B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E0E0E"/>
          <w:w w:val="95"/>
          <w:sz w:val="28"/>
          <w:szCs w:val="28"/>
        </w:rPr>
        <w:t>контрольных</w:t>
      </w:r>
      <w:r w:rsidR="00401CAF" w:rsidRPr="002035B1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мероприятий,</w:t>
      </w:r>
      <w:r w:rsidR="00401CAF" w:rsidRPr="002035B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F1F1F"/>
          <w:w w:val="95"/>
          <w:sz w:val="28"/>
          <w:szCs w:val="28"/>
        </w:rPr>
        <w:t>являющиеся</w:t>
      </w:r>
      <w:r w:rsidR="00401CAF" w:rsidRPr="002035B1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детализацией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тем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предусмотренных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пунктом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81818"/>
          <w:w w:val="95"/>
          <w:sz w:val="28"/>
          <w:szCs w:val="28"/>
        </w:rPr>
        <w:t>13</w:t>
      </w:r>
      <w:r w:rsidR="00401CAF" w:rsidRPr="002035B1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C1C1C"/>
          <w:w w:val="95"/>
          <w:sz w:val="28"/>
          <w:szCs w:val="28"/>
        </w:rPr>
        <w:t>Федерального</w:t>
      </w:r>
      <w:r w:rsidR="00401CAF" w:rsidRPr="002035B1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стандарта</w:t>
      </w:r>
      <w:r w:rsidR="00401CAF" w:rsidRPr="002035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5"/>
          <w:sz w:val="28"/>
          <w:szCs w:val="28"/>
        </w:rPr>
        <w:t>внутреннего</w:t>
      </w:r>
      <w:r w:rsidR="00401CAF" w:rsidRPr="002035B1">
        <w:rPr>
          <w:rFonts w:ascii="Times New Roman" w:hAnsi="Times New Roman" w:cs="Times New Roman"/>
          <w:color w:val="131313"/>
          <w:spacing w:val="100"/>
          <w:sz w:val="28"/>
          <w:szCs w:val="28"/>
        </w:rPr>
        <w:t xml:space="preserve">  </w:t>
      </w:r>
      <w:r w:rsidR="00401CAF" w:rsidRPr="002035B1">
        <w:rPr>
          <w:rFonts w:ascii="Times New Roman" w:hAnsi="Times New Roman" w:cs="Times New Roman"/>
          <w:w w:val="95"/>
          <w:sz w:val="28"/>
          <w:szCs w:val="28"/>
        </w:rPr>
        <w:t>государственного</w:t>
      </w:r>
      <w:r w:rsidR="00401CAF" w:rsidRPr="002035B1">
        <w:rPr>
          <w:rFonts w:ascii="Times New Roman" w:hAnsi="Times New Roman" w:cs="Times New Roman"/>
          <w:spacing w:val="70"/>
          <w:sz w:val="28"/>
          <w:szCs w:val="28"/>
        </w:rPr>
        <w:t xml:space="preserve">  </w:t>
      </w:r>
      <w:r w:rsidR="00401CAF" w:rsidRPr="002035B1">
        <w:rPr>
          <w:rFonts w:ascii="Times New Roman" w:hAnsi="Times New Roman" w:cs="Times New Roman"/>
          <w:color w:val="0E0E0E"/>
          <w:w w:val="95"/>
          <w:sz w:val="28"/>
          <w:szCs w:val="28"/>
        </w:rPr>
        <w:t>(муниципального)</w:t>
      </w:r>
      <w:r w:rsidR="00401CAF" w:rsidRPr="002035B1">
        <w:rPr>
          <w:rFonts w:ascii="Times New Roman" w:hAnsi="Times New Roman" w:cs="Times New Roman"/>
          <w:color w:val="0E0E0E"/>
          <w:spacing w:val="70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E0E0E"/>
          <w:spacing w:val="71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A1A1A"/>
          <w:w w:val="95"/>
          <w:sz w:val="28"/>
          <w:szCs w:val="28"/>
        </w:rPr>
        <w:t>финансового</w:t>
      </w:r>
      <w:r w:rsidR="00401CAF" w:rsidRPr="002035B1">
        <w:rPr>
          <w:rFonts w:ascii="Times New Roman" w:hAnsi="Times New Roman" w:cs="Times New Roman"/>
          <w:color w:val="1A1A1A"/>
          <w:spacing w:val="92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A1A1A"/>
          <w:spacing w:val="93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12121"/>
          <w:w w:val="95"/>
          <w:sz w:val="28"/>
          <w:szCs w:val="28"/>
        </w:rPr>
        <w:t>контроля</w:t>
      </w:r>
      <w:r w:rsidR="00C86916" w:rsidRPr="002035B1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51515"/>
          <w:sz w:val="28"/>
          <w:szCs w:val="28"/>
        </w:rPr>
        <w:t xml:space="preserve">«Планирование   </w:t>
      </w:r>
      <w:r w:rsidR="00401CAF" w:rsidRPr="002035B1">
        <w:rPr>
          <w:rFonts w:ascii="Times New Roman" w:hAnsi="Times New Roman" w:cs="Times New Roman"/>
          <w:color w:val="151515"/>
          <w:spacing w:val="56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C0C0C"/>
          <w:sz w:val="28"/>
          <w:szCs w:val="28"/>
        </w:rPr>
        <w:t xml:space="preserve">проверок, </w:t>
      </w:r>
      <w:r w:rsidR="00401CAF" w:rsidRPr="002035B1">
        <w:rPr>
          <w:rFonts w:ascii="Times New Roman" w:hAnsi="Times New Roman" w:cs="Times New Roman"/>
          <w:color w:val="161616"/>
          <w:sz w:val="28"/>
          <w:szCs w:val="28"/>
        </w:rPr>
        <w:t xml:space="preserve">ревизии   </w:t>
      </w:r>
      <w:r w:rsidR="00401CAF" w:rsidRPr="002035B1">
        <w:rPr>
          <w:rFonts w:ascii="Times New Roman" w:hAnsi="Times New Roman" w:cs="Times New Roman"/>
          <w:color w:val="161616"/>
          <w:spacing w:val="4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82828"/>
          <w:sz w:val="28"/>
          <w:szCs w:val="28"/>
        </w:rPr>
        <w:t xml:space="preserve">и   </w:t>
      </w:r>
      <w:r w:rsidR="00401CAF" w:rsidRPr="002035B1">
        <w:rPr>
          <w:rFonts w:ascii="Times New Roman" w:hAnsi="Times New Roman" w:cs="Times New Roman"/>
          <w:color w:val="282828"/>
          <w:spacing w:val="26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0A0A0A"/>
          <w:sz w:val="28"/>
          <w:szCs w:val="28"/>
        </w:rPr>
        <w:t xml:space="preserve">обследований», </w:t>
      </w:r>
      <w:r w:rsidR="00401CAF" w:rsidRPr="002035B1">
        <w:rPr>
          <w:rFonts w:ascii="Times New Roman" w:hAnsi="Times New Roman" w:cs="Times New Roman"/>
          <w:color w:val="151515"/>
          <w:sz w:val="28"/>
          <w:szCs w:val="28"/>
        </w:rPr>
        <w:t>утвержденным</w:t>
      </w:r>
      <w:r w:rsidR="00C86916" w:rsidRPr="002035B1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="00401CAF" w:rsidRPr="002035B1">
        <w:rPr>
          <w:rFonts w:ascii="Times New Roman" w:hAnsi="Times New Roman" w:cs="Times New Roman"/>
          <w:color w:val="0C0C0C"/>
          <w:w w:val="90"/>
          <w:sz w:val="28"/>
          <w:szCs w:val="28"/>
        </w:rPr>
        <w:t>постановлением</w:t>
      </w:r>
      <w:r w:rsidR="00401CAF" w:rsidRPr="002035B1">
        <w:rPr>
          <w:rFonts w:ascii="Times New Roman" w:hAnsi="Times New Roman" w:cs="Times New Roman"/>
          <w:color w:val="0C0C0C"/>
          <w:spacing w:val="48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w w:val="90"/>
          <w:sz w:val="28"/>
          <w:szCs w:val="28"/>
        </w:rPr>
        <w:t>Правительства</w:t>
      </w:r>
      <w:r w:rsidR="00401CAF" w:rsidRPr="002035B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31313"/>
          <w:w w:val="90"/>
          <w:sz w:val="28"/>
          <w:szCs w:val="28"/>
        </w:rPr>
        <w:t>Российс</w:t>
      </w:r>
      <w:r w:rsidR="00401CAF" w:rsidRPr="002035B1">
        <w:rPr>
          <w:rFonts w:ascii="Times New Roman" w:hAnsi="Times New Roman" w:cs="Times New Roman"/>
          <w:color w:val="0F0F0F"/>
          <w:w w:val="90"/>
          <w:sz w:val="28"/>
          <w:szCs w:val="28"/>
        </w:rPr>
        <w:t>кой</w:t>
      </w:r>
      <w:r w:rsidR="00401CAF" w:rsidRPr="002035B1">
        <w:rPr>
          <w:rFonts w:ascii="Times New Roman" w:hAnsi="Times New Roman" w:cs="Times New Roman"/>
          <w:color w:val="0F0F0F"/>
          <w:spacing w:val="48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51515"/>
          <w:w w:val="90"/>
          <w:sz w:val="28"/>
          <w:szCs w:val="28"/>
        </w:rPr>
        <w:t>Федерации</w:t>
      </w:r>
      <w:r w:rsidR="00401CAF" w:rsidRPr="002035B1">
        <w:rPr>
          <w:rFonts w:ascii="Times New Roman" w:hAnsi="Times New Roman" w:cs="Times New Roman"/>
          <w:color w:val="151515"/>
          <w:spacing w:val="48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282828"/>
          <w:w w:val="90"/>
          <w:sz w:val="28"/>
          <w:szCs w:val="28"/>
        </w:rPr>
        <w:t>от</w:t>
      </w:r>
      <w:r w:rsidR="00401CAF" w:rsidRPr="002035B1">
        <w:rPr>
          <w:rFonts w:ascii="Times New Roman" w:hAnsi="Times New Roman" w:cs="Times New Roman"/>
          <w:color w:val="282828"/>
          <w:spacing w:val="48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F1F1F"/>
          <w:w w:val="90"/>
          <w:sz w:val="28"/>
          <w:szCs w:val="28"/>
        </w:rPr>
        <w:t>27.02.2020</w:t>
      </w:r>
      <w:r w:rsidR="00401CAF" w:rsidRPr="002035B1">
        <w:rPr>
          <w:rFonts w:ascii="Times New Roman" w:hAnsi="Times New Roman" w:cs="Times New Roman"/>
          <w:color w:val="1F1F1F"/>
          <w:spacing w:val="102"/>
          <w:sz w:val="28"/>
          <w:szCs w:val="28"/>
        </w:rPr>
        <w:t xml:space="preserve"> </w:t>
      </w:r>
      <w:r w:rsidR="00C86916" w:rsidRPr="002035B1">
        <w:rPr>
          <w:rFonts w:ascii="Times New Roman" w:hAnsi="Times New Roman" w:cs="Times New Roman"/>
          <w:w w:val="90"/>
          <w:sz w:val="28"/>
          <w:szCs w:val="28"/>
        </w:rPr>
        <w:t xml:space="preserve">№ </w:t>
      </w:r>
      <w:r w:rsidR="00401CAF" w:rsidRPr="002035B1">
        <w:rPr>
          <w:rFonts w:ascii="Times New Roman" w:hAnsi="Times New Roman" w:cs="Times New Roman"/>
          <w:w w:val="90"/>
          <w:sz w:val="28"/>
          <w:szCs w:val="28"/>
        </w:rPr>
        <w:t>208</w:t>
      </w:r>
      <w:r w:rsidR="00401CAF" w:rsidRPr="002035B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D1D1D"/>
          <w:w w:val="95"/>
          <w:sz w:val="28"/>
          <w:szCs w:val="28"/>
        </w:rPr>
        <w:t>(далее</w:t>
      </w:r>
      <w:r w:rsidR="00401CAF" w:rsidRPr="002035B1">
        <w:rPr>
          <w:rFonts w:ascii="Times New Roman" w:hAnsi="Times New Roman" w:cs="Times New Roman"/>
          <w:color w:val="1D1D1D"/>
          <w:spacing w:val="14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757575"/>
          <w:w w:val="95"/>
          <w:sz w:val="28"/>
          <w:szCs w:val="28"/>
        </w:rPr>
        <w:t>—</w:t>
      </w:r>
      <w:r w:rsidR="00401CAF" w:rsidRPr="002035B1">
        <w:rPr>
          <w:rFonts w:ascii="Times New Roman" w:hAnsi="Times New Roman" w:cs="Times New Roman"/>
          <w:color w:val="757575"/>
          <w:spacing w:val="9"/>
          <w:w w:val="95"/>
          <w:sz w:val="28"/>
          <w:szCs w:val="28"/>
        </w:rPr>
        <w:t xml:space="preserve"> </w:t>
      </w:r>
      <w:r w:rsidR="00401CAF" w:rsidRPr="002035B1">
        <w:rPr>
          <w:rFonts w:ascii="Times New Roman" w:hAnsi="Times New Roman" w:cs="Times New Roman"/>
          <w:color w:val="111111"/>
          <w:w w:val="95"/>
          <w:sz w:val="28"/>
          <w:szCs w:val="28"/>
        </w:rPr>
        <w:t>стандарт).</w:t>
      </w:r>
    </w:p>
    <w:p w14:paraId="68566D41" w14:textId="77777777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2. Понятия и термины, используемые в Стандарте, применяются в значениях, определенных Бюджетным кодексом Российской Федерации, федеральным стандартом внутреннего государственного (муниципального) финансового контроля "Планирование проверок, ревизий и обследований", утвержденным постановлением Правительства Российской Федерации 27.02.2020 N 208.</w:t>
      </w:r>
    </w:p>
    <w:p w14:paraId="2695A6F6" w14:textId="77777777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3. Дополнительная информация, используемая при определении значения критерия "вероятность":</w:t>
      </w:r>
    </w:p>
    <w:p w14:paraId="0C26204E" w14:textId="77777777" w:rsid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 xml:space="preserve">наличие (отсутствие) в году составления плана контрольных мероприятий контрольных мероприятий в отношении объектов контроля по темам: </w:t>
      </w:r>
    </w:p>
    <w:p w14:paraId="2409548D" w14:textId="758057D4" w:rsid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"проверка предоставления субсидий юридическим лицам (за исключением субсидий муниципальным учреждениям,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предоставлении"</w:t>
      </w:r>
      <w:r w:rsidR="00291AC9">
        <w:rPr>
          <w:rFonts w:ascii="Times New Roman" w:hAnsi="Times New Roman" w:cs="Times New Roman"/>
          <w:sz w:val="28"/>
          <w:szCs w:val="28"/>
        </w:rPr>
        <w:t>;</w:t>
      </w:r>
    </w:p>
    <w:p w14:paraId="5A1A9057" w14:textId="0873EEAB" w:rsid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 xml:space="preserve"> "</w:t>
      </w:r>
      <w:r w:rsidRPr="00FF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C45"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по администрированию доходов или источников финансирования дефицита местного бюджета "</w:t>
      </w:r>
      <w:r w:rsidR="00291AC9">
        <w:rPr>
          <w:rFonts w:ascii="Times New Roman" w:hAnsi="Times New Roman" w:cs="Times New Roman"/>
          <w:sz w:val="28"/>
          <w:szCs w:val="28"/>
        </w:rPr>
        <w:t>;</w:t>
      </w:r>
      <w:r w:rsidRPr="00FF7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44A6" w14:textId="71B3C00E" w:rsid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"</w:t>
      </w:r>
      <w:r w:rsidRPr="00FF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C45">
        <w:rPr>
          <w:rFonts w:ascii="Times New Roman" w:hAnsi="Times New Roman" w:cs="Times New Roman"/>
          <w:sz w:val="28"/>
          <w:szCs w:val="28"/>
        </w:rPr>
        <w:t xml:space="preserve">проверка соблюдения условий договоров (соглашений) с кредитными организациями, осуществляющими отдельные операции с бюджетными </w:t>
      </w:r>
      <w:r w:rsidRPr="00FF7C45">
        <w:rPr>
          <w:rFonts w:ascii="Times New Roman" w:hAnsi="Times New Roman" w:cs="Times New Roman"/>
          <w:sz w:val="28"/>
          <w:szCs w:val="28"/>
        </w:rPr>
        <w:lastRenderedPageBreak/>
        <w:t>средствами"</w:t>
      </w:r>
      <w:r w:rsidR="00291AC9">
        <w:rPr>
          <w:rFonts w:ascii="Times New Roman" w:hAnsi="Times New Roman" w:cs="Times New Roman"/>
          <w:sz w:val="28"/>
          <w:szCs w:val="28"/>
        </w:rPr>
        <w:t>;</w:t>
      </w:r>
    </w:p>
    <w:p w14:paraId="14A163E7" w14:textId="17DBDC83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 xml:space="preserve"> "проверка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муниципального заказа"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13B656" w14:textId="554116E9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4. Дополнительная информация, используемая при определении значения критерия "существенность":</w:t>
      </w:r>
    </w:p>
    <w:p w14:paraId="2446B2D9" w14:textId="77777777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органом контроля контрольного мероприятия в отношении объекта контроля.</w:t>
      </w:r>
    </w:p>
    <w:p w14:paraId="3369CF86" w14:textId="3A01FC0B" w:rsidR="00FF7C45" w:rsidRPr="00FF7C45" w:rsidRDefault="00FF7C45" w:rsidP="00FF7C4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45">
        <w:rPr>
          <w:rFonts w:ascii="Times New Roman" w:hAnsi="Times New Roman" w:cs="Times New Roman"/>
          <w:sz w:val="28"/>
          <w:szCs w:val="28"/>
        </w:rPr>
        <w:t xml:space="preserve">5. Анализ рисков осуществляется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C45">
        <w:rPr>
          <w:rFonts w:ascii="Times New Roman" w:hAnsi="Times New Roman" w:cs="Times New Roman"/>
          <w:sz w:val="28"/>
          <w:szCs w:val="28"/>
        </w:rPr>
        <w:t xml:space="preserve"> 1 к Стандарту.</w:t>
      </w:r>
      <w:r w:rsidRPr="00FF7C45">
        <w:rPr>
          <w:rFonts w:ascii="Times New Roman" w:hAnsi="Times New Roman" w:cs="Times New Roman"/>
          <w:sz w:val="28"/>
          <w:szCs w:val="28"/>
        </w:rPr>
        <w:br/>
      </w:r>
    </w:p>
    <w:p w14:paraId="12F70B88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59E5C66C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674467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6BA8B58D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355D140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EC29481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4EDA9A1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AA7C8DF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4884785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A803B66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012B6FA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5CC3C1E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C2BD227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092A992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F176F21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7C60EBD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7ED3744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882EA6D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619171A6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5CAB407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0EA0834A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5B7E9BD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6166C8E7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1CFC89AA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0FE8D8A0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4B96A46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0A29689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3DE2D17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25659DA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D068CB4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04EC4148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960F762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77B6E83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F13E39D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02324306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4310ED5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2AE6D36" w14:textId="77777777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35A9B11C" w14:textId="77777777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22EAB67" w14:textId="77777777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5D35172A" w14:textId="77777777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54B99365" w14:textId="68A75824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6ED5303" w14:textId="0996968D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711A4775" w14:textId="1834421A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27D896D2" w14:textId="77777777" w:rsidR="00291AC9" w:rsidRDefault="00291AC9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</w:p>
    <w:p w14:paraId="1D1C52BF" w14:textId="58C6911B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 w:rsidRPr="008C0804">
        <w:rPr>
          <w:rFonts w:ascii="Times New Roman" w:hAnsi="Times New Roman" w:cs="Times New Roman"/>
          <w:color w:val="1F1F1F"/>
        </w:rPr>
        <w:t xml:space="preserve">ПРИЛОЖЕНИЕ № </w:t>
      </w:r>
      <w:r>
        <w:rPr>
          <w:rFonts w:ascii="Times New Roman" w:hAnsi="Times New Roman" w:cs="Times New Roman"/>
          <w:color w:val="1F1F1F"/>
        </w:rPr>
        <w:t>1</w:t>
      </w:r>
    </w:p>
    <w:p w14:paraId="629F348A" w14:textId="5CF36BA6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 xml:space="preserve">к </w:t>
      </w:r>
      <w:r w:rsidR="00291AC9">
        <w:rPr>
          <w:rFonts w:ascii="Times New Roman" w:hAnsi="Times New Roman" w:cs="Times New Roman"/>
          <w:color w:val="1F1F1F"/>
        </w:rPr>
        <w:t xml:space="preserve">внутреннему </w:t>
      </w:r>
      <w:r>
        <w:rPr>
          <w:rFonts w:ascii="Times New Roman" w:hAnsi="Times New Roman" w:cs="Times New Roman"/>
          <w:color w:val="1F1F1F"/>
        </w:rPr>
        <w:t>стандарту применения риск-ориентированного</w:t>
      </w:r>
    </w:p>
    <w:p w14:paraId="5D457134" w14:textId="77777777" w:rsidR="00291AC9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 xml:space="preserve"> подхода при осуществлении планирования</w:t>
      </w:r>
      <w:r w:rsidR="00291AC9">
        <w:rPr>
          <w:rFonts w:ascii="Times New Roman" w:hAnsi="Times New Roman" w:cs="Times New Roman"/>
          <w:color w:val="1F1F1F"/>
        </w:rPr>
        <w:t xml:space="preserve"> </w:t>
      </w:r>
      <w:r>
        <w:rPr>
          <w:rFonts w:ascii="Times New Roman" w:hAnsi="Times New Roman" w:cs="Times New Roman"/>
          <w:color w:val="1F1F1F"/>
        </w:rPr>
        <w:t xml:space="preserve">контрольных </w:t>
      </w:r>
    </w:p>
    <w:p w14:paraId="35DF14D8" w14:textId="4C14CAE8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мероприятий по внутреннему муниципальному</w:t>
      </w:r>
    </w:p>
    <w:p w14:paraId="4A2F73FE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финансовому контролю, утвержденному приказом</w:t>
      </w:r>
    </w:p>
    <w:p w14:paraId="1981A2BB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 xml:space="preserve"> управления финансов администрации Грязинского </w:t>
      </w:r>
    </w:p>
    <w:p w14:paraId="1D4C900A" w14:textId="77777777" w:rsidR="00FF7C45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муниципального района</w:t>
      </w:r>
    </w:p>
    <w:p w14:paraId="1D3E9AA3" w14:textId="50E0F717" w:rsidR="00FF7C45" w:rsidRPr="00291AC9" w:rsidRDefault="00FF7C45" w:rsidP="00FF7C45">
      <w:pPr>
        <w:spacing w:line="247" w:lineRule="auto"/>
        <w:ind w:left="280" w:firstLine="85"/>
        <w:jc w:val="right"/>
        <w:rPr>
          <w:rFonts w:ascii="Times New Roman" w:hAnsi="Times New Roman" w:cs="Times New Roman"/>
          <w:color w:val="1F1F1F"/>
          <w:u w:val="single"/>
        </w:rPr>
      </w:pPr>
      <w:r w:rsidRPr="00291AC9">
        <w:rPr>
          <w:rFonts w:ascii="Times New Roman" w:hAnsi="Times New Roman" w:cs="Times New Roman"/>
          <w:color w:val="1F1F1F"/>
          <w:u w:val="single"/>
        </w:rPr>
        <w:t xml:space="preserve">от </w:t>
      </w:r>
      <w:r w:rsidR="00291AC9" w:rsidRPr="00291AC9">
        <w:rPr>
          <w:rFonts w:ascii="Times New Roman" w:hAnsi="Times New Roman" w:cs="Times New Roman"/>
          <w:color w:val="1F1F1F"/>
          <w:u w:val="single"/>
        </w:rPr>
        <w:t>26 ноября 2021г.</w:t>
      </w:r>
      <w:r w:rsidRPr="00291AC9">
        <w:rPr>
          <w:rFonts w:ascii="Times New Roman" w:hAnsi="Times New Roman" w:cs="Times New Roman"/>
          <w:color w:val="1F1F1F"/>
          <w:u w:val="single"/>
        </w:rPr>
        <w:t xml:space="preserve"> №</w:t>
      </w:r>
      <w:r w:rsidR="00291AC9" w:rsidRPr="00291AC9">
        <w:rPr>
          <w:rFonts w:ascii="Times New Roman" w:hAnsi="Times New Roman" w:cs="Times New Roman"/>
          <w:color w:val="1F1F1F"/>
          <w:u w:val="single"/>
        </w:rPr>
        <w:t xml:space="preserve"> 68</w:t>
      </w:r>
      <w:r w:rsidRPr="00291AC9">
        <w:rPr>
          <w:rFonts w:ascii="Times New Roman" w:hAnsi="Times New Roman" w:cs="Times New Roman"/>
          <w:color w:val="1F1F1F"/>
          <w:u w:val="single"/>
        </w:rPr>
        <w:t xml:space="preserve">  </w:t>
      </w:r>
    </w:p>
    <w:p w14:paraId="554B23D5" w14:textId="77777777" w:rsidR="00FF7C45" w:rsidRPr="002035B1" w:rsidRDefault="00FF7C45" w:rsidP="002035B1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00F78E" w14:textId="1625F00F" w:rsidR="00825552" w:rsidRPr="002035B1" w:rsidRDefault="00825552" w:rsidP="002035B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8773163" w14:textId="1FAE76D0" w:rsidR="00825552" w:rsidRPr="002035B1" w:rsidRDefault="00825552" w:rsidP="002035B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C6353F1" w14:textId="77777777" w:rsidR="00785A54" w:rsidRPr="002035B1" w:rsidRDefault="00785A54" w:rsidP="002035B1">
      <w:pPr>
        <w:ind w:left="851"/>
        <w:jc w:val="both"/>
        <w:rPr>
          <w:rFonts w:ascii="Times New Roman" w:hAnsi="Times New Roman" w:cs="Times New Roman"/>
          <w:color w:val="262626"/>
          <w:w w:val="95"/>
          <w:sz w:val="28"/>
          <w:szCs w:val="28"/>
        </w:rPr>
      </w:pPr>
    </w:p>
    <w:p w14:paraId="6D33158D" w14:textId="77777777" w:rsidR="00FF7C45" w:rsidRPr="00FF7C45" w:rsidRDefault="00FF7C45" w:rsidP="00FF7C45">
      <w:pPr>
        <w:widowControl/>
        <w:shd w:val="clear" w:color="auto" w:fill="FFFFFF"/>
        <w:autoSpaceDE/>
        <w:autoSpaceDN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F7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АНАЛИЗ РИСКОВ</w:t>
      </w:r>
      <w:r w:rsidRPr="00FF7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1020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495"/>
        <w:gridCol w:w="2163"/>
        <w:gridCol w:w="1374"/>
        <w:gridCol w:w="1413"/>
        <w:gridCol w:w="2103"/>
      </w:tblGrid>
      <w:tr w:rsidR="00FF7C45" w:rsidRPr="00FF7C45" w14:paraId="0C57C18F" w14:textId="77777777" w:rsidTr="00B860B5">
        <w:trPr>
          <w:trHeight w:val="8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B7A2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B3F8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FD12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7C6D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0FC1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34C1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7C45" w:rsidRPr="00FF7C45" w14:paraId="74171F59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93E94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26D04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DD3D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03C2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FDAED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 в категории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E8DE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F7C45" w:rsidRPr="00FF7C45" w14:paraId="2A8613A3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A9544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D15F7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06A6B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F3B80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A72EB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77DE9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7C45" w:rsidRPr="00FF7C45" w14:paraId="72EA16A0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C0C55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21AF5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"Вероятность"</w:t>
            </w: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0E911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C45" w:rsidRPr="00FF7C45" w14:paraId="616D46CB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2F615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4424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 </w:t>
            </w:r>
            <w:hyperlink r:id="rId6" w:anchor="7D20K3" w:history="1">
              <w:r w:rsidRPr="00FF7C4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Бюджетного кодекса Российской Федерации</w:t>
              </w:r>
            </w:hyperlink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E01FB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итоговой оценки качества финансового менеджмента по каждому главному администратору (администратору) средств республиканского бюджета Республики Мордовия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EB90C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DEA68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68AF3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100% - "Низкая оценка" Е(Р) = 0, от 80% до 85% - "Средняя оценка" Е(Р) = 3, менее 80% - "высокая оценка" Е(Р) = 5</w:t>
            </w:r>
          </w:p>
        </w:tc>
      </w:tr>
      <w:tr w:rsidR="00FF7C45" w:rsidRPr="00FF7C45" w14:paraId="3A76B24A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1D4A2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71122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управления финансами в публично-правовых образованиях, получающих целевые межбюджетные трансферты и бюджетные кредиты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92DB9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качества управления финансами муниципальных районов (городского округа).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C1362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0762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0E6E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100% - "Низкая оценка" Е(Р) = 0, от 80% до 84% - "Средняя оценка" Е(Р) = 3, менее 80% - "высокая оценка" Е(Р) = 5</w:t>
            </w:r>
          </w:p>
        </w:tc>
      </w:tr>
      <w:tr w:rsidR="00FF7C45" w:rsidRPr="00FF7C45" w14:paraId="6DB7A6A6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28537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D98F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35EF4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проверяемом периоде значительных изменений в деятельности объекта контроля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E9B31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49E0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EB2A2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 оценка" Е(Р) = 5, "Нет" "низкая оценка" Е(Р) = 0</w:t>
            </w:r>
          </w:p>
        </w:tc>
      </w:tr>
      <w:tr w:rsidR="00FF7C45" w:rsidRPr="00FF7C45" w14:paraId="0302C7D3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1182E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96984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1A76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нарушений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FC19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3311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E709B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 оценка" Е(Р) = 5, "Нет" "низкая оценка" Е(Р) = 0</w:t>
            </w:r>
          </w:p>
        </w:tc>
      </w:tr>
      <w:tr w:rsidR="00FF7C45" w:rsidRPr="00FF7C45" w14:paraId="6D945E09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89124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4E15A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контрольных мероприятий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63148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(неисполнение) предписаний, представлений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D6D1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F3F09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205C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 оценка" Е(Р) = 5, "Нет" "низкая оценка" Е(Р) = 0</w:t>
            </w:r>
          </w:p>
        </w:tc>
      </w:tr>
      <w:tr w:rsidR="00FF7C45" w:rsidRPr="00FF7C45" w14:paraId="32B12CF5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868B1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53E05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отношении</w:t>
            </w:r>
          </w:p>
          <w:p w14:paraId="5E29190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34D15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</w:t>
            </w:r>
          </w:p>
          <w:p w14:paraId="1EA10967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2880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9B662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6A3C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</w:t>
            </w:r>
          </w:p>
          <w:p w14:paraId="4AB5920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оценка" Е(Р) = 5, "Нет" "низкая оценка" Е(Р) = 0</w:t>
            </w:r>
          </w:p>
        </w:tc>
      </w:tr>
      <w:tr w:rsidR="00FF7C45" w:rsidRPr="00FF7C45" w14:paraId="7E420B8E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66EDF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83FD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(отсутствие) в году составления плана контрольных мероприятий контрольных мероприятий по темам: "проверка осуществления бюджетных инвестиций", "проверка предоставления и использования средств, предоставленных в виде взноса в уставный капитал юридических лиц", "проверка исполнения соглашений о предоставлении бюджетных кредитов", "проверка использования средств государственного внебюджетного фонда", "проверка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страхования", "проверка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Федерации)", "проверка соблюдения условий договоров (соглашений) с кредитными организациями, осуществляющими отдельные операции с бюджетными средствами", "проверка использования средств кредита (займа), обеспеченного государственной (муниципальной) гарантией".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72633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(отсутствие) определенных контрольных мероприятий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16AB7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AF72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26E65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 оценка" Е(Р) = 5, "Нет" "низкая оценка" Е(Р) = 0</w:t>
            </w:r>
          </w:p>
        </w:tc>
      </w:tr>
      <w:tr w:rsidR="00FF7C45" w:rsidRPr="00FF7C45" w14:paraId="6699DBFA" w14:textId="77777777" w:rsidTr="00B860B5"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231E2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критерия "Вероятность"</w:t>
            </w: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08923" w14:textId="77777777" w:rsidR="00FF7C45" w:rsidRPr="00FF7C45" w:rsidRDefault="00FF7C45" w:rsidP="00FF7C45">
            <w:pPr>
              <w:widowControl/>
              <w:autoSpaceDE/>
              <w:autoSpaceDN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D4330" wp14:editId="37E78D83">
                  <wp:extent cx="2085975" cy="323850"/>
                  <wp:effectExtent l="0" t="0" r="9525" b="0"/>
                  <wp:docPr id="2" name="Рисунок 2" descr="https://api.docs.cntd.ru/img/57/10/59/59/4/16a91c27-32d5-4d62-ba7f-ff03b60b7828/P00130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7/10/59/59/4/16a91c27-32d5-4d62-ba7f-ff03b60b7828/P00130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45" w:rsidRPr="00FF7C45" w14:paraId="0B0CEB1E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904F9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0A7AB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Sj</w:t>
            </w:r>
            <w:proofErr w:type="spellEnd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j-го показателя критерия "Вероятность"</w:t>
            </w:r>
          </w:p>
        </w:tc>
      </w:tr>
      <w:tr w:rsidR="00FF7C45" w:rsidRPr="00FF7C45" w14:paraId="5EEF47DE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4A6E2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2DC6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E(</w:t>
            </w:r>
            <w:proofErr w:type="spellStart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Pj</w:t>
            </w:r>
            <w:proofErr w:type="spellEnd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оценка j-го показателя критерия "Вероятность"</w:t>
            </w:r>
          </w:p>
        </w:tc>
      </w:tr>
      <w:tr w:rsidR="00FF7C45" w:rsidRPr="00FF7C45" w14:paraId="7F5E0D06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4FCAC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E10FB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значении Е Вероятность = от 0 до 0,6 - "низкая оценка", Е вероятность = от 0,7 до 2,9 - "средняя оценка", Е вероятность = от 3 и более - "высокая оценка"</w:t>
            </w:r>
          </w:p>
        </w:tc>
      </w:tr>
      <w:tr w:rsidR="00FF7C45" w:rsidRPr="00FF7C45" w14:paraId="3FDF6F1B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6A6F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FA2C1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"Существенность"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37DDC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04028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A1333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C45" w:rsidRPr="00FF7C45" w14:paraId="6922277D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64801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54F77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деятельности объекта контроля или выполнения мероприятий (мер государственной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660D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сумма лимитов бюджетных обязательств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F2048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638C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C32B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значения суммы бюджетных ассигнований и (или) лимитов бюджетных обязательств в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разрезе шкалы оценок в целях присвоения категорий рисков устанавливаются ежегодно по результатам анализа объемов финансового обеспечения объектов контроля. При значении "низкая оценка" - Е(Р) = 1, "средняя оценка" Е(Р) = 3, "высокая оценка" - Е(Р) = 5</w:t>
            </w:r>
          </w:p>
        </w:tc>
      </w:tr>
      <w:tr w:rsidR="00FF7C45" w:rsidRPr="00FF7C45" w14:paraId="697CD9BC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1C92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F4500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мероприятия;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6C454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региональных проектов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68E40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0, 1,2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C25E3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63A0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 контроля не реализуются региональные проекты - "низкая оценка" Е(Р) = 0, реализация объектом контроля одного регионального проекта - "средняя оценка" Е(Р) = 2; реализация объектом контроля двух и более региональных проектов - "высокая оценка" = 4</w:t>
            </w:r>
          </w:p>
        </w:tc>
      </w:tr>
      <w:tr w:rsidR="00FF7C45" w:rsidRPr="00FF7C45" w14:paraId="0C17D61A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EE2A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2BE89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48296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объекта контроля, при отсутствии информации о кассовом расходе объекта контроля данный показатель приравнивается к объему финансового обеспечения деятельности объекта контроля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26EDC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3DADE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05488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значения суммы бюджетных ассигнований в разрезе шкалы оценок в целях присвоения категорий рисков устанавливаются ежегодно по результатам анализа объемов финансового обеспечения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контроля при значении "низкая оценка" - Е(Р) = 1, "средняя оценка" - Е(Р) = 3, "высокая оценка" - Е(Р) = 5</w:t>
            </w:r>
          </w:p>
        </w:tc>
      </w:tr>
      <w:tr w:rsidR="00FF7C45" w:rsidRPr="00FF7C45" w14:paraId="277E938D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D5E1E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060FE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      </w:r>
          </w:p>
          <w:p w14:paraId="22E5BDAD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 пунктов 2 и 9 части 1 статьи 93 </w:t>
            </w:r>
            <w:hyperlink r:id="rId8" w:anchor="64U0IK" w:history="1">
              <w:r w:rsidRPr="00FF7C4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AA61AC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условия об исполнении контракта по этапам;</w:t>
            </w:r>
          </w:p>
          <w:p w14:paraId="3D71FCCB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условия о выплате аванса; заключение контракта по результатам повторной закупки при условии </w:t>
            </w: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расторжения первоначального контракта по соглашению сторон;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BD482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проверяемом периоде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4541F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BFB62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7BB71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- "высокая оценка" Е(Р) = 5, "Нет" "низкая оценка" Е(Р) = 0</w:t>
            </w:r>
          </w:p>
        </w:tc>
      </w:tr>
      <w:tr w:rsidR="00FF7C45" w:rsidRPr="00FF7C45" w14:paraId="73620367" w14:textId="77777777" w:rsidTr="00B860B5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F5639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BA5EC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периода, прошедшего с момента проведения органом контроля контрольного мероприятия в отношении объекта контроля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900B7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контрольных мероприятий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D25E1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2E176" w14:textId="77777777" w:rsidR="00FF7C45" w:rsidRPr="00FF7C45" w:rsidRDefault="00FF7C45" w:rsidP="00FF7C4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0329A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отчетном периоде - "низкая оценка" Е(Р) = 1; от 1 до 5 лет - "средняя оценка" Е(Р) = 3, более 5 лет "высокая оценка" Е(Р) = 5</w:t>
            </w:r>
          </w:p>
        </w:tc>
      </w:tr>
      <w:tr w:rsidR="00FF7C45" w:rsidRPr="00FF7C45" w14:paraId="3F48431D" w14:textId="77777777" w:rsidTr="00B860B5"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96EDF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критерия "Существенность"</w:t>
            </w: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F1C94" w14:textId="77777777" w:rsidR="00FF7C45" w:rsidRPr="00FF7C45" w:rsidRDefault="00FF7C45" w:rsidP="00FF7C45">
            <w:pPr>
              <w:widowControl/>
              <w:autoSpaceDE/>
              <w:autoSpaceDN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CA4D8" wp14:editId="50BCCC88">
                  <wp:extent cx="2371725" cy="323850"/>
                  <wp:effectExtent l="0" t="0" r="9525" b="0"/>
                  <wp:docPr id="3" name="Рисунок 3" descr="https://api.docs.cntd.ru/img/57/10/59/59/4/16a91c27-32d5-4d62-ba7f-ff03b60b7828/P001300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i.docs.cntd.ru/img/57/10/59/59/4/16a91c27-32d5-4d62-ba7f-ff03b60b7828/P001300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45" w:rsidRPr="00FF7C45" w14:paraId="725D2F99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39836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31FF2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Sj</w:t>
            </w:r>
            <w:proofErr w:type="spellEnd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j-го показателя критерия "Существенность"</w:t>
            </w:r>
          </w:p>
        </w:tc>
      </w:tr>
      <w:tr w:rsidR="00FF7C45" w:rsidRPr="00FF7C45" w14:paraId="5D22222B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7F29F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3A948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E(</w:t>
            </w:r>
            <w:proofErr w:type="spellStart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Pj</w:t>
            </w:r>
            <w:proofErr w:type="spellEnd"/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оценка j-го показателя критерия "Существенность"</w:t>
            </w:r>
          </w:p>
        </w:tc>
      </w:tr>
      <w:tr w:rsidR="00FF7C45" w:rsidRPr="00FF7C45" w14:paraId="5F7B4E9A" w14:textId="77777777" w:rsidTr="00B860B5">
        <w:tc>
          <w:tcPr>
            <w:tcW w:w="31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5C4EF" w14:textId="77777777" w:rsidR="00FF7C45" w:rsidRPr="00FF7C45" w:rsidRDefault="00FF7C45" w:rsidP="00FF7C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0BB3A" w14:textId="77777777" w:rsidR="00FF7C45" w:rsidRPr="00FF7C45" w:rsidRDefault="00FF7C45" w:rsidP="00FF7C4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значении Е существенность = до 2,9 - "низкая оценка", Е существенность = от 3 до 5,9 - "средняя оценка", Е существенность = от 6 и более - "высокая оценка"</w:t>
            </w:r>
          </w:p>
        </w:tc>
      </w:tr>
    </w:tbl>
    <w:p w14:paraId="18834791" w14:textId="77777777" w:rsidR="00FF7C45" w:rsidRPr="00FF7C45" w:rsidRDefault="00FF7C45" w:rsidP="00FF7C4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14:paraId="0CB2E9EA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7B90635E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70A1EA5C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77DB8172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51E86A0C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19F884FC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53DCF423" w14:textId="77777777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235D76D9" w14:textId="586584E1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p w14:paraId="02C53ECD" w14:textId="083E4CC4" w:rsidR="00785A54" w:rsidRDefault="00785A54" w:rsidP="00825552">
      <w:pPr>
        <w:spacing w:before="82" w:line="283" w:lineRule="auto"/>
        <w:ind w:left="5262" w:right="239" w:firstLine="7483"/>
        <w:jc w:val="right"/>
        <w:rPr>
          <w:color w:val="262626"/>
          <w:w w:val="95"/>
          <w:sz w:val="27"/>
        </w:rPr>
      </w:pPr>
    </w:p>
    <w:sectPr w:rsidR="00785A54" w:rsidSect="00B860B5">
      <w:pgSz w:w="11910" w:h="16840"/>
      <w:pgMar w:top="1021" w:right="570" w:bottom="78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1EB"/>
    <w:multiLevelType w:val="hybridMultilevel"/>
    <w:tmpl w:val="FF0AC470"/>
    <w:lvl w:ilvl="0" w:tplc="B9C680E2">
      <w:start w:val="1"/>
      <w:numFmt w:val="decimal"/>
      <w:lvlText w:val="%1."/>
      <w:lvlJc w:val="left"/>
      <w:pPr>
        <w:ind w:left="1115" w:hanging="269"/>
      </w:pPr>
      <w:rPr>
        <w:rFonts w:hint="default"/>
        <w:spacing w:val="-1"/>
        <w:w w:val="96"/>
        <w:lang w:val="ru-RU" w:eastAsia="en-US" w:bidi="ar-SA"/>
      </w:rPr>
    </w:lvl>
    <w:lvl w:ilvl="1" w:tplc="DFBA8DEA">
      <w:numFmt w:val="bullet"/>
      <w:lvlText w:val="•"/>
      <w:lvlJc w:val="left"/>
      <w:pPr>
        <w:ind w:left="2008" w:hanging="269"/>
      </w:pPr>
      <w:rPr>
        <w:rFonts w:hint="default"/>
        <w:lang w:val="ru-RU" w:eastAsia="en-US" w:bidi="ar-SA"/>
      </w:rPr>
    </w:lvl>
    <w:lvl w:ilvl="2" w:tplc="CF04850C">
      <w:numFmt w:val="bullet"/>
      <w:lvlText w:val="•"/>
      <w:lvlJc w:val="left"/>
      <w:pPr>
        <w:ind w:left="2896" w:hanging="269"/>
      </w:pPr>
      <w:rPr>
        <w:rFonts w:hint="default"/>
        <w:lang w:val="ru-RU" w:eastAsia="en-US" w:bidi="ar-SA"/>
      </w:rPr>
    </w:lvl>
    <w:lvl w:ilvl="3" w:tplc="A9BC13E8">
      <w:numFmt w:val="bullet"/>
      <w:lvlText w:val="•"/>
      <w:lvlJc w:val="left"/>
      <w:pPr>
        <w:ind w:left="3785" w:hanging="269"/>
      </w:pPr>
      <w:rPr>
        <w:rFonts w:hint="default"/>
        <w:lang w:val="ru-RU" w:eastAsia="en-US" w:bidi="ar-SA"/>
      </w:rPr>
    </w:lvl>
    <w:lvl w:ilvl="4" w:tplc="05DC2502">
      <w:numFmt w:val="bullet"/>
      <w:lvlText w:val="•"/>
      <w:lvlJc w:val="left"/>
      <w:pPr>
        <w:ind w:left="4673" w:hanging="269"/>
      </w:pPr>
      <w:rPr>
        <w:rFonts w:hint="default"/>
        <w:lang w:val="ru-RU" w:eastAsia="en-US" w:bidi="ar-SA"/>
      </w:rPr>
    </w:lvl>
    <w:lvl w:ilvl="5" w:tplc="20CCB016">
      <w:numFmt w:val="bullet"/>
      <w:lvlText w:val="•"/>
      <w:lvlJc w:val="left"/>
      <w:pPr>
        <w:ind w:left="5562" w:hanging="269"/>
      </w:pPr>
      <w:rPr>
        <w:rFonts w:hint="default"/>
        <w:lang w:val="ru-RU" w:eastAsia="en-US" w:bidi="ar-SA"/>
      </w:rPr>
    </w:lvl>
    <w:lvl w:ilvl="6" w:tplc="E5AEE250">
      <w:numFmt w:val="bullet"/>
      <w:lvlText w:val="•"/>
      <w:lvlJc w:val="left"/>
      <w:pPr>
        <w:ind w:left="6450" w:hanging="269"/>
      </w:pPr>
      <w:rPr>
        <w:rFonts w:hint="default"/>
        <w:lang w:val="ru-RU" w:eastAsia="en-US" w:bidi="ar-SA"/>
      </w:rPr>
    </w:lvl>
    <w:lvl w:ilvl="7" w:tplc="B0B47992">
      <w:numFmt w:val="bullet"/>
      <w:lvlText w:val="•"/>
      <w:lvlJc w:val="left"/>
      <w:pPr>
        <w:ind w:left="7338" w:hanging="269"/>
      </w:pPr>
      <w:rPr>
        <w:rFonts w:hint="default"/>
        <w:lang w:val="ru-RU" w:eastAsia="en-US" w:bidi="ar-SA"/>
      </w:rPr>
    </w:lvl>
    <w:lvl w:ilvl="8" w:tplc="79E0EFBE">
      <w:numFmt w:val="bullet"/>
      <w:lvlText w:val="•"/>
      <w:lvlJc w:val="left"/>
      <w:pPr>
        <w:ind w:left="8227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254E5DDE"/>
    <w:multiLevelType w:val="hybridMultilevel"/>
    <w:tmpl w:val="B48A9EAC"/>
    <w:lvl w:ilvl="0" w:tplc="956E2424">
      <w:start w:val="5"/>
      <w:numFmt w:val="upperRoman"/>
      <w:lvlText w:val="%1-"/>
      <w:lvlJc w:val="left"/>
      <w:pPr>
        <w:ind w:left="280" w:hanging="446"/>
      </w:pPr>
      <w:rPr>
        <w:rFonts w:ascii="Times New Roman" w:eastAsia="Times New Roman" w:hAnsi="Times New Roman" w:cs="Times New Roman" w:hint="default"/>
        <w:color w:val="1F1F1F"/>
        <w:spacing w:val="-1"/>
        <w:w w:val="101"/>
        <w:sz w:val="23"/>
        <w:szCs w:val="23"/>
        <w:lang w:val="ru-RU" w:eastAsia="en-US" w:bidi="ar-SA"/>
      </w:rPr>
    </w:lvl>
    <w:lvl w:ilvl="1" w:tplc="E000DA00">
      <w:start w:val="1"/>
      <w:numFmt w:val="decimal"/>
      <w:lvlText w:val="%2."/>
      <w:lvlJc w:val="left"/>
      <w:pPr>
        <w:ind w:left="110" w:hanging="315"/>
      </w:pPr>
      <w:rPr>
        <w:rFonts w:hint="default"/>
        <w:spacing w:val="-1"/>
        <w:w w:val="81"/>
        <w:lang w:val="ru-RU" w:eastAsia="en-US" w:bidi="ar-SA"/>
      </w:rPr>
    </w:lvl>
    <w:lvl w:ilvl="2" w:tplc="EBB65060">
      <w:numFmt w:val="bullet"/>
      <w:lvlText w:val="•"/>
      <w:lvlJc w:val="left"/>
      <w:pPr>
        <w:ind w:left="1011" w:hanging="315"/>
      </w:pPr>
      <w:rPr>
        <w:rFonts w:hint="default"/>
        <w:lang w:val="ru-RU" w:eastAsia="en-US" w:bidi="ar-SA"/>
      </w:rPr>
    </w:lvl>
    <w:lvl w:ilvl="3" w:tplc="EAFC7694">
      <w:numFmt w:val="bullet"/>
      <w:lvlText w:val="•"/>
      <w:lvlJc w:val="left"/>
      <w:pPr>
        <w:ind w:left="1742" w:hanging="315"/>
      </w:pPr>
      <w:rPr>
        <w:rFonts w:hint="default"/>
        <w:lang w:val="ru-RU" w:eastAsia="en-US" w:bidi="ar-SA"/>
      </w:rPr>
    </w:lvl>
    <w:lvl w:ilvl="4" w:tplc="87E85BCE">
      <w:numFmt w:val="bullet"/>
      <w:lvlText w:val="•"/>
      <w:lvlJc w:val="left"/>
      <w:pPr>
        <w:ind w:left="2473" w:hanging="315"/>
      </w:pPr>
      <w:rPr>
        <w:rFonts w:hint="default"/>
        <w:lang w:val="ru-RU" w:eastAsia="en-US" w:bidi="ar-SA"/>
      </w:rPr>
    </w:lvl>
    <w:lvl w:ilvl="5" w:tplc="538EDAE0">
      <w:numFmt w:val="bullet"/>
      <w:lvlText w:val="•"/>
      <w:lvlJc w:val="left"/>
      <w:pPr>
        <w:ind w:left="3205" w:hanging="315"/>
      </w:pPr>
      <w:rPr>
        <w:rFonts w:hint="default"/>
        <w:lang w:val="ru-RU" w:eastAsia="en-US" w:bidi="ar-SA"/>
      </w:rPr>
    </w:lvl>
    <w:lvl w:ilvl="6" w:tplc="7C1244EC">
      <w:numFmt w:val="bullet"/>
      <w:lvlText w:val="•"/>
      <w:lvlJc w:val="left"/>
      <w:pPr>
        <w:ind w:left="3936" w:hanging="315"/>
      </w:pPr>
      <w:rPr>
        <w:rFonts w:hint="default"/>
        <w:lang w:val="ru-RU" w:eastAsia="en-US" w:bidi="ar-SA"/>
      </w:rPr>
    </w:lvl>
    <w:lvl w:ilvl="7" w:tplc="99E0A48A">
      <w:numFmt w:val="bullet"/>
      <w:lvlText w:val="•"/>
      <w:lvlJc w:val="left"/>
      <w:pPr>
        <w:ind w:left="4667" w:hanging="315"/>
      </w:pPr>
      <w:rPr>
        <w:rFonts w:hint="default"/>
        <w:lang w:val="ru-RU" w:eastAsia="en-US" w:bidi="ar-SA"/>
      </w:rPr>
    </w:lvl>
    <w:lvl w:ilvl="8" w:tplc="E6B0ADEA">
      <w:numFmt w:val="bullet"/>
      <w:lvlText w:val="•"/>
      <w:lvlJc w:val="left"/>
      <w:pPr>
        <w:ind w:left="5398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408E4B83"/>
    <w:multiLevelType w:val="hybridMultilevel"/>
    <w:tmpl w:val="5C3CD1E6"/>
    <w:lvl w:ilvl="0" w:tplc="0818E922">
      <w:start w:val="1"/>
      <w:numFmt w:val="decimal"/>
      <w:lvlText w:val="%1."/>
      <w:lvlJc w:val="left"/>
      <w:pPr>
        <w:ind w:left="194" w:hanging="402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78D4D29A">
      <w:numFmt w:val="bullet"/>
      <w:lvlText w:val="•"/>
      <w:lvlJc w:val="left"/>
      <w:pPr>
        <w:ind w:left="1180" w:hanging="402"/>
      </w:pPr>
      <w:rPr>
        <w:rFonts w:hint="default"/>
        <w:lang w:val="ru-RU" w:eastAsia="en-US" w:bidi="ar-SA"/>
      </w:rPr>
    </w:lvl>
    <w:lvl w:ilvl="2" w:tplc="19C27D90">
      <w:numFmt w:val="bullet"/>
      <w:lvlText w:val="•"/>
      <w:lvlJc w:val="left"/>
      <w:pPr>
        <w:ind w:left="2160" w:hanging="402"/>
      </w:pPr>
      <w:rPr>
        <w:rFonts w:hint="default"/>
        <w:lang w:val="ru-RU" w:eastAsia="en-US" w:bidi="ar-SA"/>
      </w:rPr>
    </w:lvl>
    <w:lvl w:ilvl="3" w:tplc="9BA0CF4A">
      <w:numFmt w:val="bullet"/>
      <w:lvlText w:val="•"/>
      <w:lvlJc w:val="left"/>
      <w:pPr>
        <w:ind w:left="3141" w:hanging="402"/>
      </w:pPr>
      <w:rPr>
        <w:rFonts w:hint="default"/>
        <w:lang w:val="ru-RU" w:eastAsia="en-US" w:bidi="ar-SA"/>
      </w:rPr>
    </w:lvl>
    <w:lvl w:ilvl="4" w:tplc="EA4019F2">
      <w:numFmt w:val="bullet"/>
      <w:lvlText w:val="•"/>
      <w:lvlJc w:val="left"/>
      <w:pPr>
        <w:ind w:left="4121" w:hanging="402"/>
      </w:pPr>
      <w:rPr>
        <w:rFonts w:hint="default"/>
        <w:lang w:val="ru-RU" w:eastAsia="en-US" w:bidi="ar-SA"/>
      </w:rPr>
    </w:lvl>
    <w:lvl w:ilvl="5" w:tplc="A7AE2E3C">
      <w:numFmt w:val="bullet"/>
      <w:lvlText w:val="•"/>
      <w:lvlJc w:val="left"/>
      <w:pPr>
        <w:ind w:left="5102" w:hanging="402"/>
      </w:pPr>
      <w:rPr>
        <w:rFonts w:hint="default"/>
        <w:lang w:val="ru-RU" w:eastAsia="en-US" w:bidi="ar-SA"/>
      </w:rPr>
    </w:lvl>
    <w:lvl w:ilvl="6" w:tplc="0430E486">
      <w:numFmt w:val="bullet"/>
      <w:lvlText w:val="•"/>
      <w:lvlJc w:val="left"/>
      <w:pPr>
        <w:ind w:left="6082" w:hanging="402"/>
      </w:pPr>
      <w:rPr>
        <w:rFonts w:hint="default"/>
        <w:lang w:val="ru-RU" w:eastAsia="en-US" w:bidi="ar-SA"/>
      </w:rPr>
    </w:lvl>
    <w:lvl w:ilvl="7" w:tplc="79CC0D70">
      <w:numFmt w:val="bullet"/>
      <w:lvlText w:val="•"/>
      <w:lvlJc w:val="left"/>
      <w:pPr>
        <w:ind w:left="7062" w:hanging="402"/>
      </w:pPr>
      <w:rPr>
        <w:rFonts w:hint="default"/>
        <w:lang w:val="ru-RU" w:eastAsia="en-US" w:bidi="ar-SA"/>
      </w:rPr>
    </w:lvl>
    <w:lvl w:ilvl="8" w:tplc="E22C4158">
      <w:numFmt w:val="bullet"/>
      <w:lvlText w:val="•"/>
      <w:lvlJc w:val="left"/>
      <w:pPr>
        <w:ind w:left="8043" w:hanging="4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F"/>
    <w:rsid w:val="001137DA"/>
    <w:rsid w:val="001E491C"/>
    <w:rsid w:val="002035B1"/>
    <w:rsid w:val="00210AFD"/>
    <w:rsid w:val="00272D5D"/>
    <w:rsid w:val="00291AC9"/>
    <w:rsid w:val="002A17E2"/>
    <w:rsid w:val="002E64D0"/>
    <w:rsid w:val="00317C1F"/>
    <w:rsid w:val="00336B22"/>
    <w:rsid w:val="00401CAF"/>
    <w:rsid w:val="00413FFE"/>
    <w:rsid w:val="00430E29"/>
    <w:rsid w:val="004913C8"/>
    <w:rsid w:val="004B525D"/>
    <w:rsid w:val="005B075C"/>
    <w:rsid w:val="005D47BA"/>
    <w:rsid w:val="0062372F"/>
    <w:rsid w:val="00772781"/>
    <w:rsid w:val="00785A54"/>
    <w:rsid w:val="008016CE"/>
    <w:rsid w:val="00825552"/>
    <w:rsid w:val="00892060"/>
    <w:rsid w:val="008C0804"/>
    <w:rsid w:val="008C787C"/>
    <w:rsid w:val="00943A99"/>
    <w:rsid w:val="009F1020"/>
    <w:rsid w:val="00A41BAB"/>
    <w:rsid w:val="00A61051"/>
    <w:rsid w:val="00AD46DC"/>
    <w:rsid w:val="00B860B5"/>
    <w:rsid w:val="00C47607"/>
    <w:rsid w:val="00C86916"/>
    <w:rsid w:val="00D909EE"/>
    <w:rsid w:val="00E724B6"/>
    <w:rsid w:val="00E84299"/>
    <w:rsid w:val="00EB40A6"/>
    <w:rsid w:val="00EC7DE4"/>
    <w:rsid w:val="00EF6553"/>
    <w:rsid w:val="00F162CC"/>
    <w:rsid w:val="00F37FF1"/>
    <w:rsid w:val="00F95A0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F6D"/>
  <w15:chartTrackingRefBased/>
  <w15:docId w15:val="{38809E84-4CFB-4970-AB32-3582043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825552"/>
    <w:pPr>
      <w:spacing w:before="8"/>
      <w:ind w:right="109"/>
      <w:jc w:val="center"/>
      <w:outlineLvl w:val="0"/>
    </w:pPr>
    <w:rPr>
      <w:sz w:val="30"/>
      <w:szCs w:val="30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825552"/>
    <w:pPr>
      <w:ind w:right="121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CA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01CAF"/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rsid w:val="00401CAF"/>
    <w:pPr>
      <w:ind w:left="194" w:right="184" w:hanging="1114"/>
      <w:jc w:val="both"/>
    </w:pPr>
  </w:style>
  <w:style w:type="character" w:customStyle="1" w:styleId="10">
    <w:name w:val="Заголовок 1 Знак"/>
    <w:basedOn w:val="a0"/>
    <w:link w:val="1"/>
    <w:uiPriority w:val="9"/>
    <w:rsid w:val="00825552"/>
    <w:rPr>
      <w:rFonts w:ascii="Cambria" w:eastAsia="Cambria" w:hAnsi="Cambria" w:cs="Cambria"/>
      <w:sz w:val="30"/>
      <w:szCs w:val="30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825552"/>
    <w:rPr>
      <w:rFonts w:ascii="Cambria" w:eastAsia="Cambria" w:hAnsi="Cambria" w:cs="Cambria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5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0F141EE0B638BD5E5D90687B190A6D223085EBE8C21DC8D7BED4782A38B0EDF335D1F0280CBCBC87D0965A3285207E1526DE5627F579w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2021-12-16T07:17:00Z</cp:lastPrinted>
  <dcterms:created xsi:type="dcterms:W3CDTF">2021-12-01T10:09:00Z</dcterms:created>
  <dcterms:modified xsi:type="dcterms:W3CDTF">2021-12-20T06:27:00Z</dcterms:modified>
</cp:coreProperties>
</file>