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4B35DA" w:rsidP="004B35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C42A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C42A90">
              <w:rPr>
                <w:sz w:val="28"/>
                <w:szCs w:val="28"/>
              </w:rPr>
              <w:t>.202</w:t>
            </w:r>
            <w:r w:rsidR="00750F10">
              <w:rPr>
                <w:sz w:val="28"/>
                <w:szCs w:val="28"/>
              </w:rPr>
              <w:t>3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4B35DA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CE5248">
              <w:rPr>
                <w:sz w:val="28"/>
                <w:szCs w:val="28"/>
              </w:rPr>
              <w:t>9</w:t>
            </w:r>
            <w:r w:rsidR="004B35DA">
              <w:rPr>
                <w:sz w:val="28"/>
                <w:szCs w:val="28"/>
              </w:rPr>
              <w:t>3</w:t>
            </w:r>
          </w:p>
        </w:tc>
      </w:tr>
    </w:tbl>
    <w:p w:rsidR="00C42A90" w:rsidRPr="00750F10" w:rsidRDefault="00C42A90" w:rsidP="00750F10">
      <w:pPr>
        <w:ind w:right="4535"/>
      </w:pPr>
      <w:r w:rsidRPr="00677C63">
        <w:rPr>
          <w:szCs w:val="28"/>
        </w:rPr>
        <w:t>О внесении изменений в приказ управления финансов</w:t>
      </w:r>
      <w:r w:rsidR="00750F10">
        <w:rPr>
          <w:szCs w:val="28"/>
        </w:rPr>
        <w:t xml:space="preserve"> </w:t>
      </w:r>
      <w:r w:rsidRPr="00677C63">
        <w:rPr>
          <w:szCs w:val="28"/>
        </w:rPr>
        <w:t>администрации Грязинского муниципального района</w:t>
      </w:r>
      <w:r w:rsidR="00750F10">
        <w:rPr>
          <w:szCs w:val="28"/>
        </w:rPr>
        <w:t xml:space="preserve"> </w:t>
      </w: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750F10">
        <w:rPr>
          <w:szCs w:val="28"/>
        </w:rPr>
        <w:t>2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 w:rsidRPr="00750F10"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 w:rsidRPr="00750F10"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6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750F10">
        <w:t>2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750F10">
        <w:t>2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="00750F10" w:rsidRPr="00750F10">
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районного бюджета на 2023 год и на плановый период 2024 и 2025 годов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D5293A" w:rsidRPr="00D5293A" w:rsidRDefault="00D5293A" w:rsidP="00D5293A">
      <w:pPr>
        <w:pStyle w:val="a6"/>
        <w:ind w:firstLine="708"/>
        <w:jc w:val="both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</w:p>
    <w:p w:rsidR="00C42A90" w:rsidRDefault="00A24909" w:rsidP="00C42A90">
      <w:pPr>
        <w:ind w:firstLine="708"/>
        <w:jc w:val="both"/>
        <w:rPr>
          <w:sz w:val="22"/>
        </w:rPr>
      </w:pPr>
      <w:r>
        <w:t>1</w:t>
      </w:r>
      <w:r w:rsidR="00C42A90">
        <w:t xml:space="preserve">. В разделе </w:t>
      </w:r>
      <w:r w:rsidR="00C42A90" w:rsidRPr="00C42A90">
        <w:rPr>
          <w:bCs/>
        </w:rPr>
        <w:t xml:space="preserve">II. </w:t>
      </w:r>
      <w:r w:rsidR="00C42A90">
        <w:rPr>
          <w:bCs/>
        </w:rPr>
        <w:t>"</w:t>
      </w:r>
      <w:r w:rsidR="00C42A90"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="00C42A90">
        <w:rPr>
          <w:sz w:val="22"/>
        </w:rPr>
        <w:t>":</w:t>
      </w:r>
    </w:p>
    <w:p w:rsidR="00891ADE" w:rsidRDefault="00F665E6" w:rsidP="00891ADE">
      <w:pPr>
        <w:jc w:val="both"/>
        <w:rPr>
          <w:szCs w:val="28"/>
        </w:rPr>
      </w:pPr>
      <w:r>
        <w:rPr>
          <w:sz w:val="22"/>
        </w:rPr>
        <w:t xml:space="preserve">1) </w:t>
      </w:r>
      <w:r w:rsidR="00891ADE" w:rsidRPr="000E2098">
        <w:t>целевую статью</w:t>
      </w:r>
      <w:r w:rsidR="00891ADE">
        <w:t xml:space="preserve"> </w:t>
      </w:r>
      <w:r w:rsidR="00891ADE">
        <w:rPr>
          <w:szCs w:val="28"/>
        </w:rPr>
        <w:t xml:space="preserve">01 1 00 00000 </w:t>
      </w:r>
      <w:r w:rsidR="00891ADE" w:rsidRPr="008D7DAD">
        <w:rPr>
          <w:szCs w:val="28"/>
        </w:rPr>
        <w:t xml:space="preserve">Подпрограмма </w:t>
      </w:r>
      <w:r w:rsidR="00891ADE">
        <w:rPr>
          <w:szCs w:val="28"/>
        </w:rPr>
        <w:t>"</w:t>
      </w:r>
      <w:r w:rsidR="00891ADE"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 w:rsidR="00891ADE">
        <w:rPr>
          <w:szCs w:val="28"/>
        </w:rPr>
        <w:t>" изложить в новой редакции:</w:t>
      </w:r>
    </w:p>
    <w:p w:rsidR="00891ADE" w:rsidRDefault="00891ADE" w:rsidP="00891ADE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"01 1 00 00000 </w:t>
      </w:r>
      <w:r w:rsidRPr="008D7DA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>
        <w:rPr>
          <w:szCs w:val="28"/>
        </w:rPr>
        <w:t>"</w:t>
      </w:r>
    </w:p>
    <w:p w:rsidR="00891ADE" w:rsidRDefault="00891ADE" w:rsidP="00891ADE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</w:t>
      </w:r>
      <w:r w:rsidRPr="006E7BE5">
        <w:rPr>
          <w:szCs w:val="28"/>
        </w:rPr>
        <w:t xml:space="preserve"> </w:t>
      </w:r>
      <w:r w:rsidRPr="00F12239">
        <w:rPr>
          <w:szCs w:val="28"/>
        </w:rPr>
        <w:t>мероприятиям:</w:t>
      </w:r>
    </w:p>
    <w:p w:rsidR="00891ADE" w:rsidRDefault="00891ADE" w:rsidP="00891AD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01 </w:t>
      </w:r>
      <w:r>
        <w:rPr>
          <w:szCs w:val="28"/>
        </w:rPr>
        <w:t>1</w:t>
      </w:r>
      <w:r w:rsidRPr="00F12239">
        <w:rPr>
          <w:szCs w:val="28"/>
        </w:rPr>
        <w:t xml:space="preserve">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Разработка проекта бюджета Грязинского муниципального района в установленные сроки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 xml:space="preserve">01 1 04 00000 </w:t>
      </w:r>
      <w:r w:rsidRPr="00C5261D">
        <w:rPr>
          <w:szCs w:val="28"/>
        </w:rPr>
        <w:t xml:space="preserve">Основное мероприятие "Достижение наилучших </w:t>
      </w:r>
      <w:proofErr w:type="gramStart"/>
      <w:r w:rsidRPr="00C5261D">
        <w:rPr>
          <w:szCs w:val="28"/>
        </w:rPr>
        <w:t>значений показателей качества управления финансов</w:t>
      </w:r>
      <w:proofErr w:type="gramEnd"/>
      <w:r w:rsidRPr="00C5261D">
        <w:rPr>
          <w:szCs w:val="28"/>
        </w:rPr>
        <w:t xml:space="preserve"> и платежеспособности муниципального района"</w:t>
      </w:r>
    </w:p>
    <w:p w:rsidR="00891ADE" w:rsidRPr="00E637AC" w:rsidRDefault="00891ADE" w:rsidP="00891ADE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637AC">
        <w:rPr>
          <w:szCs w:val="28"/>
        </w:rPr>
        <w:t xml:space="preserve">01 1 05 00000 Основное мероприятие </w:t>
      </w:r>
      <w:r w:rsidRPr="00E637AC">
        <w:rPr>
          <w:szCs w:val="20"/>
          <w:lang w:eastAsia="en-US"/>
        </w:rPr>
        <w:t>"</w:t>
      </w:r>
      <w:r w:rsidRPr="00E637AC">
        <w:rPr>
          <w:szCs w:val="28"/>
        </w:rPr>
        <w:t>Обеспечение деятельности</w:t>
      </w:r>
      <w:r w:rsidRPr="00E637AC">
        <w:rPr>
          <w:szCs w:val="20"/>
          <w:lang w:eastAsia="en-US"/>
        </w:rPr>
        <w:t xml:space="preserve"> МКУ "Центр компетенции в сфере бухгалтерского учета и муниципального заказа Грязинского муниципального района"</w:t>
      </w:r>
      <w:proofErr w:type="gramStart"/>
      <w:r>
        <w:rPr>
          <w:szCs w:val="20"/>
          <w:lang w:eastAsia="en-US"/>
        </w:rPr>
        <w:t>."</w:t>
      </w:r>
      <w:proofErr w:type="gramEnd"/>
    </w:p>
    <w:p w:rsidR="00517059" w:rsidRDefault="00891ADE" w:rsidP="00891ADE">
      <w:pPr>
        <w:jc w:val="both"/>
      </w:pPr>
      <w:r w:rsidRPr="00891ADE">
        <w:t xml:space="preserve">2) </w:t>
      </w:r>
      <w:r w:rsidRPr="000E2098">
        <w:t xml:space="preserve">целевую статью </w:t>
      </w:r>
      <w:r>
        <w:t>"04 3 00 00000 Подпрограмма "</w:t>
      </w:r>
      <w:r w:rsidRPr="00F12239">
        <w:rPr>
          <w:snapToGrid w:val="0"/>
          <w:szCs w:val="28"/>
        </w:rPr>
        <w:t>Обеспечение реализации муниципальной политики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г.г</w:t>
      </w:r>
      <w:proofErr w:type="spellEnd"/>
      <w:r w:rsidRPr="00F12239">
        <w:rPr>
          <w:snapToGrid w:val="0"/>
          <w:szCs w:val="28"/>
        </w:rPr>
        <w:t>.</w:t>
      </w:r>
      <w:r>
        <w:rPr>
          <w:szCs w:val="28"/>
        </w:rPr>
        <w:t>" изложить в новой редакции:</w:t>
      </w:r>
    </w:p>
    <w:p w:rsidR="00891ADE" w:rsidRPr="00F12239" w:rsidRDefault="00891ADE" w:rsidP="00891ADE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>
        <w:rPr>
          <w:szCs w:val="28"/>
        </w:rPr>
        <w:t>"</w:t>
      </w:r>
      <w:r w:rsidRPr="00F12239">
        <w:rPr>
          <w:szCs w:val="28"/>
        </w:rPr>
        <w:t xml:space="preserve">04 3 00 00000 Подпрограмма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</w:t>
      </w:r>
      <w:r w:rsidRPr="008031D3">
        <w:rPr>
          <w:snapToGrid w:val="0"/>
          <w:szCs w:val="28"/>
        </w:rPr>
        <w:t>6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</w:t>
      </w:r>
      <w:proofErr w:type="gramStart"/>
      <w:r w:rsidRPr="00F12239">
        <w:rPr>
          <w:snapToGrid w:val="0"/>
          <w:szCs w:val="28"/>
        </w:rPr>
        <w:t>г</w:t>
      </w:r>
      <w:proofErr w:type="spellEnd"/>
      <w:proofErr w:type="gramEnd"/>
      <w:r w:rsidRPr="00F12239">
        <w:rPr>
          <w:snapToGrid w:val="0"/>
          <w:szCs w:val="28"/>
        </w:rPr>
        <w:t>.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</w:p>
    <w:p w:rsidR="00891ADE" w:rsidRDefault="00891ADE" w:rsidP="00891ADE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891ADE" w:rsidRPr="00EA22A9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02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Расходы на содержание аппарата управления администрации </w:t>
      </w:r>
      <w:r w:rsidRPr="00EA22A9">
        <w:rPr>
          <w:szCs w:val="28"/>
        </w:rPr>
        <w:t>Грязинского муниципального района"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04 3 03 00000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полномочий в сфере архивного дела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04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Расходы на реализацию государственных </w:t>
      </w:r>
      <w:r w:rsidRPr="00F12239">
        <w:rPr>
          <w:szCs w:val="28"/>
        </w:rPr>
        <w:lastRenderedPageBreak/>
        <w:t>полномочий по регистрации актов гражданского состояния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04 3 05 00000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образованию и организации деятельности административных комиссий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04 3 06 00000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04 3 07 00000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отдельных государственных полномочий в области охраны труда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04 3 09 00000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пенсионное обеспечение муниципальных служащих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04 3 10 00000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оплате жилья и коммунальных услуг работникам культуры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Социальная поддержка отдельных категорий граждан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04 3 12 00000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Членство в организациях и ассоциациях Липецкой области</w:t>
      </w:r>
      <w:r>
        <w:rPr>
          <w:szCs w:val="28"/>
        </w:rPr>
        <w:t>"</w:t>
      </w:r>
    </w:p>
    <w:p w:rsidR="00891ADE" w:rsidRDefault="00891ADE" w:rsidP="00891ADE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 xml:space="preserve">04 3 13 00000 </w:t>
      </w:r>
      <w:r w:rsidRPr="00891ADE">
        <w:rPr>
          <w:szCs w:val="28"/>
        </w:rPr>
        <w:t>Основное мероприятие "Достижение наилучших значений показателей качества и платежеспособности муниципального района"</w:t>
      </w:r>
    </w:p>
    <w:p w:rsidR="00351BAA" w:rsidRDefault="00891ADE" w:rsidP="00351BAA">
      <w:pPr>
        <w:jc w:val="both"/>
      </w:pPr>
      <w:r>
        <w:t>3</w:t>
      </w:r>
      <w:r w:rsidRPr="00891ADE">
        <w:t xml:space="preserve">) </w:t>
      </w:r>
      <w:r w:rsidR="00351BAA">
        <w:t xml:space="preserve">целевую статью "06 1 00 00000 </w:t>
      </w:r>
      <w:r w:rsidR="00351BAA" w:rsidRPr="00351BAA">
        <w:t xml:space="preserve"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</w:t>
      </w:r>
      <w:r w:rsidR="00351BAA">
        <w:t>–</w:t>
      </w:r>
      <w:r w:rsidR="00351BAA" w:rsidRPr="00351BAA">
        <w:t xml:space="preserve"> 2026 годы"</w:t>
      </w:r>
      <w:r w:rsidR="00351BAA">
        <w:t xml:space="preserve"> </w:t>
      </w:r>
      <w:r w:rsidR="00351BAA" w:rsidRPr="00891ADE">
        <w:rPr>
          <w:szCs w:val="28"/>
        </w:rPr>
        <w:t>изложить в новой редакции:</w:t>
      </w:r>
    </w:p>
    <w:p w:rsidR="00351BAA" w:rsidRPr="00EA22A9" w:rsidRDefault="00351BAA" w:rsidP="00351BAA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EA22A9">
        <w:rPr>
          <w:szCs w:val="28"/>
        </w:rPr>
        <w:t xml:space="preserve">06 1 00 00000 </w:t>
      </w:r>
      <w:r w:rsidRPr="00EA22A9">
        <w:rPr>
          <w:snapToGrid w:val="0"/>
          <w:szCs w:val="28"/>
        </w:rPr>
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</w:t>
      </w:r>
      <w:r w:rsidRPr="008031D3">
        <w:rPr>
          <w:snapToGrid w:val="0"/>
          <w:szCs w:val="28"/>
        </w:rPr>
        <w:t>6</w:t>
      </w:r>
      <w:r w:rsidRPr="00EA22A9">
        <w:rPr>
          <w:snapToGrid w:val="0"/>
          <w:szCs w:val="28"/>
        </w:rPr>
        <w:t xml:space="preserve"> годы"</w:t>
      </w:r>
    </w:p>
    <w:p w:rsidR="00351BAA" w:rsidRPr="00F12239" w:rsidRDefault="00351BAA" w:rsidP="00351BAA">
      <w:pPr>
        <w:widowControl w:val="0"/>
        <w:autoSpaceDE w:val="0"/>
        <w:autoSpaceDN w:val="0"/>
        <w:adjustRightInd w:val="0"/>
        <w:ind w:left="709" w:firstLine="567"/>
        <w:jc w:val="both"/>
        <w:outlineLvl w:val="2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351BAA" w:rsidRDefault="00351BAA" w:rsidP="00351BA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1 01 00000 Основное мероприятие "Финансирование кадастровых работ по формированию земельных участков"</w:t>
      </w:r>
    </w:p>
    <w:p w:rsidR="00351BAA" w:rsidRPr="00EA22A9" w:rsidRDefault="00351BAA" w:rsidP="00351BAA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06 1 02 00000 </w:t>
      </w:r>
      <w:r w:rsidRPr="00F26674">
        <w:rPr>
          <w:szCs w:val="28"/>
        </w:rPr>
        <w:t>Основное мероприятие "Проведение комплексных кадастровых работ"</w:t>
      </w:r>
    </w:p>
    <w:p w:rsidR="00891ADE" w:rsidRDefault="00351BAA" w:rsidP="00891ADE">
      <w:pPr>
        <w:jc w:val="both"/>
      </w:pPr>
      <w:r>
        <w:t xml:space="preserve">4) </w:t>
      </w:r>
      <w:r w:rsidR="00891ADE" w:rsidRPr="000E2098">
        <w:t xml:space="preserve">целевую статью </w:t>
      </w:r>
      <w:r w:rsidR="00891ADE">
        <w:t>"07 1 00 00000 Подпрограмма "</w:t>
      </w:r>
      <w:r w:rsidR="00891ADE"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 w:rsidR="00891ADE">
        <w:rPr>
          <w:szCs w:val="28"/>
        </w:rPr>
        <w:t>–</w:t>
      </w:r>
      <w:r w:rsidR="00891ADE" w:rsidRPr="00E9118D">
        <w:rPr>
          <w:szCs w:val="28"/>
        </w:rPr>
        <w:t xml:space="preserve"> 202</w:t>
      </w:r>
      <w:r w:rsidR="00891ADE" w:rsidRPr="001C1ADD">
        <w:rPr>
          <w:szCs w:val="28"/>
        </w:rPr>
        <w:t>6</w:t>
      </w:r>
      <w:r w:rsidR="00891ADE" w:rsidRPr="0045351D">
        <w:rPr>
          <w:szCs w:val="28"/>
        </w:rPr>
        <w:t xml:space="preserve"> </w:t>
      </w:r>
      <w:r w:rsidR="00891ADE" w:rsidRPr="00E9118D">
        <w:rPr>
          <w:szCs w:val="28"/>
        </w:rPr>
        <w:t>гг.</w:t>
      </w:r>
      <w:r w:rsidR="00891ADE">
        <w:rPr>
          <w:szCs w:val="28"/>
        </w:rPr>
        <w:t>"</w:t>
      </w:r>
      <w:r w:rsidR="00891ADE" w:rsidRPr="00891ADE">
        <w:rPr>
          <w:szCs w:val="28"/>
        </w:rPr>
        <w:t xml:space="preserve"> изложить в новой редакции:</w:t>
      </w:r>
    </w:p>
    <w:p w:rsidR="00891ADE" w:rsidRPr="00F12239" w:rsidRDefault="00891ADE" w:rsidP="00891ADE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 xml:space="preserve">Ресурсное обеспечение развития образования в Грязинском муниципальном районе Липецкой области в 2020 </w:t>
      </w:r>
      <w:r>
        <w:rPr>
          <w:szCs w:val="28"/>
        </w:rPr>
        <w:t>–</w:t>
      </w:r>
      <w:r w:rsidRPr="00E9118D">
        <w:rPr>
          <w:szCs w:val="28"/>
        </w:rPr>
        <w:t xml:space="preserve"> 202</w:t>
      </w:r>
      <w:r w:rsidRPr="001C1ADD">
        <w:rPr>
          <w:szCs w:val="28"/>
        </w:rPr>
        <w:t>6</w:t>
      </w:r>
      <w:r w:rsidRPr="0045351D">
        <w:rPr>
          <w:szCs w:val="28"/>
        </w:rPr>
        <w:t xml:space="preserve"> </w:t>
      </w:r>
      <w:r w:rsidRPr="00E9118D">
        <w:rPr>
          <w:szCs w:val="28"/>
        </w:rPr>
        <w:t>гг.</w:t>
      </w:r>
      <w:r>
        <w:rPr>
          <w:szCs w:val="28"/>
        </w:rPr>
        <w:t>"</w:t>
      </w:r>
    </w:p>
    <w:p w:rsidR="00891ADE" w:rsidRDefault="00891ADE" w:rsidP="00891ADE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01 00000 Основное мероприятие "Развитие системы дошкольного образования"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07 1 11 00000 </w:t>
      </w:r>
      <w:r w:rsidRPr="00891ADE">
        <w:rPr>
          <w:szCs w:val="28"/>
        </w:rPr>
        <w:t>Основное мероприятие "Достижение наилучших значений показателей качества и платежеспособности района"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891ADE" w:rsidRPr="006872EA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lastRenderedPageBreak/>
        <w:t xml:space="preserve">07 1 13 00000 Основное мероприятие "Реализация мероприятий, направленных на выполнение требований антитеррористической защищенности общеобразовательных </w:t>
      </w:r>
      <w:r w:rsidRPr="006872EA">
        <w:t>организаций"</w:t>
      </w:r>
    </w:p>
    <w:p w:rsidR="00891ADE" w:rsidRPr="00523F83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t>07 1 14 00000</w:t>
      </w:r>
      <w:r w:rsidRPr="006872EA">
        <w:t xml:space="preserve"> 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</w:r>
    </w:p>
    <w:p w:rsidR="00891ADE" w:rsidRPr="002D0F05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523F83">
        <w:rPr>
          <w:szCs w:val="28"/>
        </w:rPr>
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891ADE" w:rsidRPr="0039389C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39389C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891ADE" w:rsidRPr="0054655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 xml:space="preserve">07 1 17 00000 </w:t>
      </w:r>
      <w:r w:rsidRPr="00782E58">
        <w:rPr>
          <w:szCs w:val="28"/>
        </w:rPr>
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891ADE" w:rsidRPr="00EA22A9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546559">
        <w:rPr>
          <w:szCs w:val="28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546559">
        <w:rPr>
          <w:szCs w:val="28"/>
        </w:rPr>
        <w:t>безбарьерной</w:t>
      </w:r>
      <w:proofErr w:type="spellEnd"/>
      <w:r w:rsidRPr="00546559">
        <w:rPr>
          <w:szCs w:val="28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 xml:space="preserve">07 1 22 00000 </w:t>
      </w:r>
      <w:r w:rsidRPr="0063341A">
        <w:rPr>
          <w:lang w:eastAsia="en-US"/>
        </w:rPr>
        <w:t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t xml:space="preserve">07 1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</w:p>
    <w:p w:rsidR="00891ADE" w:rsidRDefault="00891ADE" w:rsidP="00891ADE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6378BA">
        <w:t xml:space="preserve">07 1 </w:t>
      </w:r>
      <w:proofErr w:type="gramStart"/>
      <w:r w:rsidRPr="006378BA">
        <w:rPr>
          <w:lang w:val="en-US"/>
        </w:rPr>
        <w:t>E</w:t>
      </w:r>
      <w:proofErr w:type="gramEnd"/>
      <w:r w:rsidRPr="006378BA">
        <w:t>В 00000 "Региональный проект "Патриотическое воспитание граждан Российской Федерации</w:t>
      </w:r>
      <w:r>
        <w:t>"</w:t>
      </w:r>
    </w:p>
    <w:p w:rsidR="00517059" w:rsidRPr="00F03735" w:rsidRDefault="00517059" w:rsidP="00517059">
      <w:pPr>
        <w:widowControl w:val="0"/>
        <w:autoSpaceDE w:val="0"/>
        <w:autoSpaceDN w:val="0"/>
        <w:adjustRightInd w:val="0"/>
        <w:jc w:val="both"/>
      </w:pPr>
    </w:p>
    <w:p w:rsidR="00DC7DB0" w:rsidRDefault="005476C9" w:rsidP="00CF63E9">
      <w:pPr>
        <w:autoSpaceDE w:val="0"/>
        <w:autoSpaceDN w:val="0"/>
        <w:adjustRightInd w:val="0"/>
        <w:ind w:firstLine="708"/>
        <w:jc w:val="both"/>
      </w:pPr>
      <w:r w:rsidRPr="005476C9">
        <w:t xml:space="preserve">2. </w:t>
      </w:r>
      <w:r>
        <w:t>Р</w:t>
      </w:r>
      <w:r w:rsidR="00C42A90" w:rsidRPr="005476C9">
        <w:t>аздел III. "Уникальные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района"</w:t>
      </w:r>
      <w:r w:rsidR="00DC7DB0">
        <w:t>:</w:t>
      </w:r>
    </w:p>
    <w:p w:rsidR="005476C9" w:rsidRDefault="00DC7DB0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</w:t>
      </w:r>
      <w:r w:rsidR="00C42A90" w:rsidRPr="005476C9">
        <w:t xml:space="preserve">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1ADE" w:rsidRDefault="005476C9" w:rsidP="00891A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</w:t>
      </w:r>
      <w:r w:rsidR="00891ADE">
        <w:rPr>
          <w:rFonts w:eastAsiaTheme="minorHAnsi"/>
          <w:szCs w:val="20"/>
          <w:lang w:eastAsia="en-US"/>
        </w:rPr>
        <w:t xml:space="preserve">80050 </w:t>
      </w:r>
      <w:r w:rsidR="00891ADE" w:rsidRPr="0057363F">
        <w:rPr>
          <w:rFonts w:eastAsiaTheme="minorHAnsi"/>
          <w:szCs w:val="20"/>
          <w:lang w:eastAsia="en-US"/>
        </w:rPr>
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</w:p>
    <w:p w:rsidR="00891ADE" w:rsidRDefault="00891ADE" w:rsidP="00891ADE">
      <w:pPr>
        <w:pStyle w:val="a6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4052AA">
        <w:rPr>
          <w:rFonts w:ascii="Times New Roman" w:hAnsi="Times New Roman" w:cs="Times New Roman"/>
          <w:sz w:val="24"/>
          <w:lang w:eastAsia="en-US"/>
        </w:rPr>
        <w:t xml:space="preserve">По данному направлению расходов отражаются расходы </w:t>
      </w:r>
      <w:r w:rsidRPr="004052AA">
        <w:rPr>
          <w:rFonts w:ascii="Times New Roman" w:hAnsi="Times New Roman" w:cs="Times New Roman"/>
          <w:sz w:val="24"/>
        </w:rPr>
        <w:t>районного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бюджета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  <w:r w:rsidRPr="004052AA">
        <w:rPr>
          <w:rFonts w:ascii="Times New Roman" w:hAnsi="Times New Roman" w:cs="Times New Roman"/>
          <w:sz w:val="24"/>
          <w:lang w:eastAsia="en-US"/>
        </w:rPr>
        <w:t>, источником финансового обеспечения которых являются ин</w:t>
      </w:r>
      <w:r>
        <w:rPr>
          <w:rFonts w:ascii="Times New Roman" w:hAnsi="Times New Roman" w:cs="Times New Roman"/>
          <w:sz w:val="24"/>
          <w:lang w:eastAsia="en-US"/>
        </w:rPr>
        <w:t>ые дотации из областного бюджета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предоставляемые местным бюджетам </w:t>
      </w:r>
      <w:r w:rsidRPr="000B6A1E">
        <w:rPr>
          <w:rFonts w:ascii="Times New Roman" w:hAnsi="Times New Roman" w:cs="Times New Roman"/>
          <w:sz w:val="24"/>
        </w:rPr>
        <w:t>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351BAA" w:rsidRDefault="00891ADE" w:rsidP="00891ADE">
      <w:pPr>
        <w:autoSpaceDE w:val="0"/>
        <w:autoSpaceDN w:val="0"/>
        <w:adjustRightInd w:val="0"/>
        <w:ind w:firstLine="708"/>
        <w:jc w:val="both"/>
      </w:pPr>
      <w:r w:rsidRPr="000B6A1E">
        <w:t>Поступление дотаций на указанные цели отражается по соответствующим кодам вида доходов 000 2 02 16549 00 0000 150 "Дотации (гранты) бюджетам за достижение показателей деятельности органов местного самоуправления" классификации доходов бюджетов</w:t>
      </w:r>
      <w:r>
        <w:t>.</w:t>
      </w:r>
    </w:p>
    <w:p w:rsidR="00351BAA" w:rsidRDefault="00351BAA" w:rsidP="00891ADE">
      <w:pPr>
        <w:autoSpaceDE w:val="0"/>
        <w:autoSpaceDN w:val="0"/>
        <w:adjustRightInd w:val="0"/>
        <w:ind w:firstLine="708"/>
        <w:jc w:val="both"/>
      </w:pPr>
    </w:p>
    <w:p w:rsidR="00351BAA" w:rsidRDefault="00351BAA" w:rsidP="00891ADE">
      <w:pPr>
        <w:autoSpaceDE w:val="0"/>
        <w:autoSpaceDN w:val="0"/>
        <w:adjustRightInd w:val="0"/>
        <w:ind w:firstLine="708"/>
        <w:jc w:val="both"/>
      </w:pPr>
      <w:r w:rsidRPr="00351BAA">
        <w:t>S6470</w:t>
      </w:r>
      <w:r>
        <w:t xml:space="preserve"> </w:t>
      </w:r>
      <w:r w:rsidRPr="00351BAA">
        <w:t>Расходы, направленные на проведение комплексных кадастровых работ</w:t>
      </w:r>
    </w:p>
    <w:p w:rsidR="00351BAA" w:rsidRPr="00351BAA" w:rsidRDefault="00351BAA" w:rsidP="00351BAA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>порядке софинансирования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субсидии из </w:t>
      </w:r>
      <w:r w:rsidRPr="00351BAA">
        <w:rPr>
          <w:rFonts w:ascii="Times New Roman" w:hAnsi="Times New Roman" w:cs="Times New Roman"/>
          <w:sz w:val="24"/>
          <w:szCs w:val="24"/>
        </w:rPr>
        <w:t>областного бюджета, направленные на проведение комплексных кадастровых работ.</w:t>
      </w:r>
    </w:p>
    <w:p w:rsidR="004E7BD9" w:rsidRDefault="00351BAA" w:rsidP="00351BAA">
      <w:pPr>
        <w:autoSpaceDE w:val="0"/>
        <w:autoSpaceDN w:val="0"/>
        <w:adjustRightInd w:val="0"/>
        <w:ind w:firstLine="708"/>
        <w:jc w:val="both"/>
      </w:pPr>
      <w:r w:rsidRPr="00E20128">
        <w:lastRenderedPageBreak/>
        <w:t>Поступление субсидий в бюджеты муниципальных образований на указанные цели отражается по соответствующим кодам вида доходов 000 2 02 29999 00 0000 150 "Прочие субсидии" классификации доходов бюджетов</w:t>
      </w:r>
      <w:proofErr w:type="gramStart"/>
      <w:r w:rsidRPr="00E20128">
        <w:t>.</w:t>
      </w:r>
      <w:r w:rsidR="00891ADE">
        <w:t>"</w:t>
      </w:r>
      <w:proofErr w:type="gramEnd"/>
    </w:p>
    <w:p w:rsidR="00DC7DB0" w:rsidRDefault="00DC7DB0" w:rsidP="00891ADE">
      <w:pPr>
        <w:autoSpaceDE w:val="0"/>
        <w:autoSpaceDN w:val="0"/>
        <w:adjustRightInd w:val="0"/>
        <w:ind w:firstLine="708"/>
        <w:jc w:val="both"/>
      </w:pPr>
    </w:p>
    <w:p w:rsidR="00DC7DB0" w:rsidRDefault="00DC7DB0" w:rsidP="00891AD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- следующ</w:t>
      </w:r>
      <w:r w:rsidR="005405FC">
        <w:rPr>
          <w:lang w:eastAsia="en-US"/>
        </w:rPr>
        <w:t>и</w:t>
      </w:r>
      <w:r>
        <w:rPr>
          <w:lang w:eastAsia="en-US"/>
        </w:rPr>
        <w:t>е направление расходов изложить в новой редакции:</w:t>
      </w:r>
    </w:p>
    <w:p w:rsidR="00DC7DB0" w:rsidRDefault="00DC7DB0" w:rsidP="00891ADE">
      <w:pPr>
        <w:autoSpaceDE w:val="0"/>
        <w:autoSpaceDN w:val="0"/>
        <w:adjustRightInd w:val="0"/>
        <w:ind w:firstLine="708"/>
        <w:jc w:val="both"/>
      </w:pPr>
    </w:p>
    <w:p w:rsidR="00DC7DB0" w:rsidRDefault="00DC7DB0" w:rsidP="00DC7DB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>
        <w:t>"</w:t>
      </w:r>
      <w:r>
        <w:rPr>
          <w:rFonts w:ascii="Times New Roman" w:hAnsi="Times New Roman" w:cs="Times New Roman"/>
          <w:sz w:val="24"/>
          <w:szCs w:val="24"/>
        </w:rPr>
        <w:t xml:space="preserve">51340 </w:t>
      </w:r>
      <w:r w:rsidRPr="00C768B6">
        <w:rPr>
          <w:rFonts w:ascii="Times New Roman" w:hAnsi="Times New Roman" w:cs="Times New Roman"/>
          <w:sz w:val="24"/>
          <w:szCs w:val="20"/>
        </w:rPr>
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C768B6">
        <w:rPr>
          <w:rFonts w:ascii="Times New Roman" w:hAnsi="Times New Roman" w:cs="Times New Roman"/>
          <w:sz w:val="24"/>
          <w:szCs w:val="20"/>
        </w:rPr>
        <w:t>О ветеранах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C768B6">
        <w:rPr>
          <w:rFonts w:ascii="Times New Roman" w:hAnsi="Times New Roman" w:cs="Times New Roman"/>
          <w:sz w:val="24"/>
          <w:szCs w:val="20"/>
        </w:rPr>
        <w:t xml:space="preserve">, в соответствии с Указом Президента Российской Федерации от 7 мая 2008 года  № 714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C768B6">
        <w:rPr>
          <w:rFonts w:ascii="Times New Roman" w:hAnsi="Times New Roman" w:cs="Times New Roman"/>
          <w:sz w:val="24"/>
          <w:szCs w:val="20"/>
        </w:rPr>
        <w:t>Об обеспечении жильем ветеранов Великой Отечественной войны 1941 – 1945 годов</w:t>
      </w:r>
      <w:r>
        <w:rPr>
          <w:rFonts w:ascii="Times New Roman" w:hAnsi="Times New Roman" w:cs="Times New Roman"/>
          <w:sz w:val="24"/>
          <w:szCs w:val="20"/>
        </w:rPr>
        <w:t>"</w:t>
      </w:r>
    </w:p>
    <w:p w:rsidR="00DC7DB0" w:rsidRPr="006214AF" w:rsidRDefault="00DC7DB0" w:rsidP="00DC7D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4AF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 xml:space="preserve">бюджета, </w:t>
      </w:r>
      <w:r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 является субвенции из областного бюджета</w:t>
      </w:r>
      <w:r w:rsidRPr="006214AF">
        <w:rPr>
          <w:rFonts w:ascii="Times New Roman" w:hAnsi="Times New Roman" w:cs="Times New Roman"/>
          <w:sz w:val="24"/>
          <w:szCs w:val="24"/>
        </w:rPr>
        <w:t>, осуществляемые за счет межбюджетных трансфертов из федерального бюджета, на предоставление субвенций местным бюджетам на обеспечение</w:t>
      </w:r>
      <w:bookmarkStart w:id="0" w:name="_GoBack"/>
      <w:bookmarkEnd w:id="0"/>
      <w:r w:rsidRPr="006214AF">
        <w:rPr>
          <w:rFonts w:ascii="Times New Roman" w:hAnsi="Times New Roman" w:cs="Times New Roman"/>
          <w:sz w:val="24"/>
          <w:szCs w:val="24"/>
        </w:rPr>
        <w:t xml:space="preserve"> жильем инвалидов Великой Отечественной войны; 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период;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государств; лиц, награжденных знаком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214AF">
        <w:rPr>
          <w:rFonts w:ascii="Times New Roman" w:hAnsi="Times New Roman" w:cs="Times New Roman"/>
          <w:sz w:val="24"/>
          <w:szCs w:val="24"/>
        </w:rPr>
        <w:t>Жителю блокадного Ленинграда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214AF">
        <w:rPr>
          <w:rFonts w:ascii="Times New Roman" w:hAnsi="Times New Roman" w:cs="Times New Roman"/>
          <w:sz w:val="24"/>
          <w:szCs w:val="24"/>
        </w:rPr>
        <w:t>;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Ленинграда.</w:t>
      </w:r>
    </w:p>
    <w:p w:rsidR="005405FC" w:rsidRDefault="00DC7DB0" w:rsidP="00DC7DB0">
      <w:pPr>
        <w:autoSpaceDE w:val="0"/>
        <w:autoSpaceDN w:val="0"/>
        <w:adjustRightInd w:val="0"/>
        <w:ind w:firstLine="708"/>
        <w:jc w:val="both"/>
        <w:rPr>
          <w:szCs w:val="20"/>
        </w:rPr>
      </w:pPr>
      <w:proofErr w:type="gramStart"/>
      <w:r w:rsidRPr="00D775CF">
        <w:rPr>
          <w:szCs w:val="20"/>
        </w:rPr>
        <w:t xml:space="preserve">Поступление субвенций на указанные цели отражается по соответствующим кодам вида доходов 000 2 02 35134 00 0000 150 "Субвенции бюджетам на осуществление полномочий по обеспечению жильем отдельных категорий граждан, установленных Федеральным </w:t>
      </w:r>
      <w:hyperlink r:id="rId7" w:history="1">
        <w:r w:rsidRPr="00E27EAD">
          <w:rPr>
            <w:szCs w:val="20"/>
          </w:rPr>
          <w:t>законом</w:t>
        </w:r>
      </w:hyperlink>
      <w:r w:rsidRPr="00D775CF">
        <w:rPr>
          <w:szCs w:val="20"/>
        </w:rPr>
        <w:t xml:space="preserve"> от 12 января 1995 года </w:t>
      </w:r>
      <w:r>
        <w:rPr>
          <w:szCs w:val="20"/>
        </w:rPr>
        <w:t>№</w:t>
      </w:r>
      <w:r w:rsidRPr="00D775CF">
        <w:rPr>
          <w:szCs w:val="20"/>
        </w:rPr>
        <w:t xml:space="preserve"> 5-ФЗ "О ветеранах", в соответствии с </w:t>
      </w:r>
      <w:hyperlink r:id="rId8" w:history="1">
        <w:r w:rsidRPr="00E27EAD">
          <w:rPr>
            <w:szCs w:val="20"/>
          </w:rPr>
          <w:t>Указом</w:t>
        </w:r>
      </w:hyperlink>
      <w:r w:rsidRPr="00D775CF">
        <w:rPr>
          <w:szCs w:val="20"/>
        </w:rPr>
        <w:t xml:space="preserve"> Президента Российской Федерации от 7 мая 2008 года </w:t>
      </w:r>
      <w:r>
        <w:rPr>
          <w:szCs w:val="20"/>
        </w:rPr>
        <w:t>№</w:t>
      </w:r>
      <w:r w:rsidRPr="00D775CF">
        <w:rPr>
          <w:szCs w:val="20"/>
        </w:rPr>
        <w:t xml:space="preserve"> 714 "Об обеспечении жильем ветеранов Великой Отечественной войны</w:t>
      </w:r>
      <w:proofErr w:type="gramEnd"/>
      <w:r w:rsidRPr="00D775CF">
        <w:rPr>
          <w:szCs w:val="20"/>
        </w:rPr>
        <w:t xml:space="preserve"> 1941 </w:t>
      </w:r>
      <w:r>
        <w:rPr>
          <w:szCs w:val="20"/>
        </w:rPr>
        <w:t>–</w:t>
      </w:r>
      <w:r w:rsidRPr="00D775CF">
        <w:rPr>
          <w:szCs w:val="20"/>
        </w:rPr>
        <w:t xml:space="preserve"> 1945 годов", классификации доходов бюджетов.</w:t>
      </w:r>
    </w:p>
    <w:p w:rsidR="005405FC" w:rsidRDefault="005405FC" w:rsidP="00DC7DB0">
      <w:pPr>
        <w:autoSpaceDE w:val="0"/>
        <w:autoSpaceDN w:val="0"/>
        <w:adjustRightInd w:val="0"/>
        <w:ind w:firstLine="708"/>
        <w:jc w:val="both"/>
        <w:rPr>
          <w:szCs w:val="20"/>
        </w:rPr>
      </w:pPr>
    </w:p>
    <w:p w:rsidR="005405FC" w:rsidRDefault="005405FC" w:rsidP="005405FC">
      <w:pPr>
        <w:pStyle w:val="a6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0392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Pr="00720392">
        <w:rPr>
          <w:rFonts w:ascii="Times New Roman" w:hAnsi="Times New Roman" w:cs="Times New Roman"/>
          <w:snapToGrid w:val="0"/>
          <w:sz w:val="24"/>
          <w:szCs w:val="24"/>
        </w:rPr>
        <w:t>6060</w:t>
      </w:r>
      <w:r w:rsidRPr="00C95A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Расходы,</w:t>
      </w:r>
      <w:r w:rsidRPr="00C95A22">
        <w:rPr>
          <w:rFonts w:ascii="Times New Roman" w:hAnsi="Times New Roman" w:cs="Times New Roman"/>
          <w:snapToGrid w:val="0"/>
          <w:sz w:val="24"/>
          <w:szCs w:val="24"/>
        </w:rPr>
        <w:t xml:space="preserve"> направленные на создание условий для обеспечения услугами торговли поселений, входящих в состав муниципального района</w:t>
      </w:r>
    </w:p>
    <w:p w:rsidR="005405FC" w:rsidRPr="000C7CCC" w:rsidRDefault="005405FC" w:rsidP="005405FC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6CAD">
        <w:rPr>
          <w:rFonts w:ascii="Times New Roman" w:hAnsi="Times New Roman" w:cs="Times New Roman"/>
          <w:snapToGrid w:val="0"/>
          <w:sz w:val="24"/>
          <w:szCs w:val="24"/>
        </w:rPr>
        <w:t>По данному направлению расходов отражаются расходы районного бюджета в порядке софинансирования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996C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субсидии из областного </w:t>
      </w:r>
      <w:r w:rsidRPr="000C7CCC">
        <w:rPr>
          <w:rFonts w:ascii="Times New Roman" w:hAnsi="Times New Roman" w:cs="Times New Roman"/>
          <w:sz w:val="24"/>
          <w:szCs w:val="24"/>
        </w:rPr>
        <w:t>бюджета на обеспечение услугами торговли поселений, входящих в состав муниципального района.</w:t>
      </w:r>
    </w:p>
    <w:p w:rsidR="00DC7DB0" w:rsidRDefault="005405FC" w:rsidP="005405FC">
      <w:pPr>
        <w:pStyle w:val="a6"/>
        <w:ind w:firstLine="720"/>
        <w:jc w:val="both"/>
      </w:pPr>
      <w:r w:rsidRPr="000C7CCC">
        <w:rPr>
          <w:rFonts w:ascii="Times New Roman" w:hAnsi="Times New Roman" w:cs="Times New Roman"/>
          <w:sz w:val="24"/>
          <w:szCs w:val="24"/>
        </w:rPr>
        <w:t>Поступление субсидий на указанные цели отражается по соответствующим кодам вида доходов 000 2 02 29999 00 0000 150 "Прочие субсидии" классификации доходов бюджетов</w:t>
      </w:r>
      <w:proofErr w:type="gramStart"/>
      <w:r w:rsidRPr="000C7CCC">
        <w:rPr>
          <w:rFonts w:ascii="Times New Roman" w:hAnsi="Times New Roman" w:cs="Times New Roman"/>
          <w:sz w:val="24"/>
          <w:szCs w:val="24"/>
        </w:rPr>
        <w:t>.</w:t>
      </w:r>
      <w:r w:rsidR="00DC7DB0">
        <w:rPr>
          <w:szCs w:val="20"/>
        </w:rPr>
        <w:t>"</w:t>
      </w:r>
      <w:proofErr w:type="gramEnd"/>
    </w:p>
    <w:p w:rsidR="00CF63E9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917070" w:rsidRPr="00B03579" w:rsidTr="001A0602">
        <w:tc>
          <w:tcPr>
            <w:tcW w:w="2376" w:type="dxa"/>
            <w:gridSpan w:val="4"/>
            <w:vAlign w:val="center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79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79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Грязинского </w:t>
            </w:r>
            <w:r w:rsidRPr="0039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410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91ADE" w:rsidRPr="00C5261D" w:rsidRDefault="00891ADE" w:rsidP="001A121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5F2543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891ADE" w:rsidRPr="005F2543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91ADE" w:rsidRPr="005F2543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91ADE" w:rsidRPr="005F2543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91ADE" w:rsidRPr="005F2543" w:rsidRDefault="00891ADE" w:rsidP="001A12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39389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7A5BF0" w:rsidRPr="007A5BF0" w:rsidTr="001A0602">
        <w:tc>
          <w:tcPr>
            <w:tcW w:w="517" w:type="dxa"/>
          </w:tcPr>
          <w:p w:rsidR="007A5BF0" w:rsidRPr="007A5BF0" w:rsidRDefault="007A5BF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F0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7A5BF0" w:rsidRPr="007A5BF0" w:rsidRDefault="007A5BF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F0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7A5BF0" w:rsidRPr="007A5BF0" w:rsidRDefault="007A5BF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F0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7A5BF0" w:rsidRPr="007A5BF0" w:rsidRDefault="007A5BF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5BF0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7A5BF0" w:rsidRPr="007A5BF0" w:rsidRDefault="007A5BF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A5BF0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А</w:t>
            </w:r>
            <w:proofErr w:type="gramStart"/>
            <w:r w:rsidRPr="0039389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А</w:t>
            </w:r>
            <w:proofErr w:type="gramStart"/>
            <w:r w:rsidRPr="0039389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А</w:t>
            </w:r>
            <w:proofErr w:type="gramStart"/>
            <w:r w:rsidRPr="0039389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А</w:t>
            </w:r>
            <w:proofErr w:type="gramStart"/>
            <w:r w:rsidRPr="0039389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2026 годы</w:t>
            </w: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B842D7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917070" w:rsidRPr="003938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17070"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917070"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  <w:r w:rsidRPr="0039389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9389C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B842D7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917070" w:rsidRPr="0039389C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17070"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917070"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2026 годы" 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60050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Субсидии на компенсацию части затрат, связанных с приобретением автомобильного топлива для доставки товаров и заказов сельскому населению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S606</w:t>
            </w:r>
            <w:r w:rsidRPr="0039389C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17070" w:rsidRPr="005405FC" w:rsidRDefault="005405FC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405FC">
              <w:rPr>
                <w:rFonts w:ascii="Times New Roman" w:hAnsi="Times New Roman" w:cs="Times New Roman"/>
                <w:snapToGrid w:val="0"/>
                <w:sz w:val="20"/>
                <w:szCs w:val="24"/>
              </w:rPr>
              <w:t>Расходы, направленные на создание условий для обеспечения услугами торговли поселений, входящих в состав муниципального района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2026 годы"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15 декабря 2015 года № 481-ОЗ "О </w:t>
            </w:r>
            <w:r w:rsidRPr="00393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S6</w:t>
            </w:r>
            <w:r w:rsidRPr="0039389C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39389C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"Совершенствование информационного обеспечения муниципальных служащих"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  <w:lang w:val="en-US"/>
              </w:rPr>
              <w:t>S</w:t>
            </w:r>
            <w:r w:rsidRPr="0039389C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2026 </w:t>
            </w:r>
            <w:proofErr w:type="spell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39389C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39389C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389C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39389C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89C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917070" w:rsidRPr="0039389C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9389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 на реализацию государственных полномочий по регистрации актов гражданского состояния"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 349-ОЗ "О </w:t>
            </w:r>
            <w:r w:rsidRPr="00920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51340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 № 714 "Об обеспечении жильем ветеранов Великой Отечественной войны 1941 – 1945 годов"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91ADE" w:rsidRPr="00C5261D" w:rsidRDefault="00891ADE" w:rsidP="001A121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91ADE" w:rsidRPr="00FF639D" w:rsidRDefault="00891ADE" w:rsidP="001A12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– 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– 202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6</w:t>
            </w: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</w:t>
            </w: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характера, защитных сооружений и других объектов гражданской обороны"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lastRenderedPageBreak/>
              <w:t>05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9F49F2" w:rsidRPr="00B03579" w:rsidTr="001A0602">
        <w:tc>
          <w:tcPr>
            <w:tcW w:w="517" w:type="dxa"/>
          </w:tcPr>
          <w:p w:rsidR="009F49F2" w:rsidRPr="00F26674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67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F49F2" w:rsidRPr="00F26674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6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F49F2" w:rsidRPr="00F26674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67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F49F2" w:rsidRPr="00F26674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6674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F49F2" w:rsidRPr="00F26674" w:rsidRDefault="009F49F2" w:rsidP="004835A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7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комплексных кадастровых работ"</w:t>
            </w:r>
          </w:p>
        </w:tc>
      </w:tr>
      <w:tr w:rsidR="009F49F2" w:rsidRPr="00B03579" w:rsidTr="001A0602">
        <w:tc>
          <w:tcPr>
            <w:tcW w:w="517" w:type="dxa"/>
          </w:tcPr>
          <w:p w:rsidR="009F49F2" w:rsidRPr="009F4C3F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F49F2" w:rsidRPr="009F4C3F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F49F2" w:rsidRPr="009F4C3F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F49F2" w:rsidRPr="00F26674" w:rsidRDefault="009F49F2" w:rsidP="00483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6470</w:t>
            </w:r>
          </w:p>
        </w:tc>
        <w:tc>
          <w:tcPr>
            <w:tcW w:w="7938" w:type="dxa"/>
          </w:tcPr>
          <w:p w:rsidR="009F49F2" w:rsidRPr="009F4C3F" w:rsidRDefault="009F49F2" w:rsidP="004835A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6674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проведение комплексных кадастровых работ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FF639D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917070" w:rsidRPr="00E02311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4A7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по сбору, обработке, утилизации, обезвреживанию и захоронению отходов на территории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0013</w:t>
            </w:r>
            <w:r w:rsidRPr="009205DB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917070" w:rsidRPr="00286888" w:rsidTr="001A0602">
        <w:tc>
          <w:tcPr>
            <w:tcW w:w="517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286888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286888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917070" w:rsidRPr="00286888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6888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917070" w:rsidRPr="00164434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9205DB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205DB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сохранения и развитие имеющегося потенциала мощности централизованных систем"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205DB">
              <w:rPr>
                <w:rFonts w:eastAsia="Arial Unicode MS"/>
                <w:sz w:val="20"/>
                <w:szCs w:val="20"/>
              </w:rPr>
              <w:t>00019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283834" w:rsidRPr="00B73B92" w:rsidTr="001A0602">
        <w:tc>
          <w:tcPr>
            <w:tcW w:w="517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12</w:t>
            </w:r>
          </w:p>
        </w:tc>
        <w:tc>
          <w:tcPr>
            <w:tcW w:w="903" w:type="dxa"/>
          </w:tcPr>
          <w:p w:rsidR="00283834" w:rsidRPr="00B73B92" w:rsidRDefault="00283834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283834" w:rsidRPr="00B73B92" w:rsidRDefault="00283834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lastRenderedPageBreak/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</w:rPr>
            </w:pPr>
            <w:r w:rsidRPr="00B73B92">
              <w:rPr>
                <w:rFonts w:eastAsia="Arial Unicode MS"/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"Модернизация систем коммунальной инфраструктуры"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00019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"Модернизация систем коммунальной инфраструктуры"</w:t>
            </w:r>
          </w:p>
        </w:tc>
      </w:tr>
      <w:tr w:rsidR="009A60A5" w:rsidRPr="00B73B92" w:rsidTr="001A0602">
        <w:tc>
          <w:tcPr>
            <w:tcW w:w="517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14</w:t>
            </w:r>
          </w:p>
        </w:tc>
        <w:tc>
          <w:tcPr>
            <w:tcW w:w="903" w:type="dxa"/>
          </w:tcPr>
          <w:p w:rsidR="009A60A5" w:rsidRPr="00B73B92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  <w:lang w:val="en-US"/>
              </w:rPr>
              <w:t>S</w:t>
            </w:r>
            <w:r w:rsidRPr="00B73B92">
              <w:rPr>
                <w:rFonts w:eastAsia="Arial Unicode MS"/>
                <w:sz w:val="20"/>
                <w:szCs w:val="19"/>
              </w:rPr>
              <w:t>9607</w:t>
            </w:r>
          </w:p>
        </w:tc>
        <w:tc>
          <w:tcPr>
            <w:tcW w:w="7938" w:type="dxa"/>
          </w:tcPr>
          <w:p w:rsidR="009A60A5" w:rsidRPr="00B73B92" w:rsidRDefault="009A60A5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обеспечение мероприятий по капитальному ремонту многоквартирных домов, модернизации систем коммунальной инфраструктуры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F1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19"/>
                <w:szCs w:val="19"/>
                <w:lang w:val="en-US"/>
              </w:rPr>
            </w:pPr>
            <w:r w:rsidRPr="00B73B92">
              <w:rPr>
                <w:rFonts w:eastAsia="Arial Unicode MS"/>
                <w:b/>
                <w:sz w:val="19"/>
                <w:szCs w:val="19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Региональный проект "Жильё"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3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  <w:lang w:val="en-US"/>
              </w:rPr>
            </w:pPr>
            <w:r w:rsidRPr="00B73B92">
              <w:rPr>
                <w:rFonts w:eastAsia="Arial Unicode MS"/>
                <w:sz w:val="20"/>
                <w:szCs w:val="19"/>
                <w:lang w:val="en-US"/>
              </w:rPr>
              <w:t>F1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19"/>
              </w:rPr>
            </w:pPr>
            <w:r w:rsidRPr="00B73B92">
              <w:rPr>
                <w:rFonts w:eastAsia="Arial Unicode MS"/>
                <w:sz w:val="20"/>
                <w:szCs w:val="19"/>
              </w:rPr>
              <w:t>50212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2026 годы"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 xml:space="preserve">06 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"Ремонт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00130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  <w:lang w:val="en-US"/>
              </w:rPr>
              <w:t>S607</w:t>
            </w:r>
            <w:r w:rsidRPr="00B73B92">
              <w:rPr>
                <w:sz w:val="20"/>
                <w:szCs w:val="19"/>
              </w:rPr>
              <w:t>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ремонта</w:t>
            </w:r>
            <w:proofErr w:type="gramEnd"/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"Комплекс работ по содержанию автомобильных дорог"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4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04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00130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 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Подпрограмма "Организация в границах сельских поселений электро-, тепл</w:t>
            </w:r>
            <w:proofErr w:type="gramStart"/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о-</w:t>
            </w:r>
            <w:proofErr w:type="gramEnd"/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2026 годы"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03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"Оформление прав собственности на инженерные сети"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06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5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03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Муниципальная программа </w:t>
            </w:r>
            <w:r w:rsidRPr="00B73B92">
              <w:rPr>
                <w:rFonts w:ascii="Times New Roman" w:hAnsi="Times New Roman" w:cs="Times New Roman"/>
                <w:b/>
                <w:snapToGrid w:val="0"/>
                <w:sz w:val="19"/>
                <w:szCs w:val="19"/>
              </w:rPr>
              <w:t>"Развитие системы образования в Грязинском муниципальном районе Липецкой области на 2020 – 2026 гг."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Подпрограмма "Ресурсное обеспечение развития образования в Грязинском муниципальном районе Липецкой области в 2020 – 2026 гг."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"Развитие системы дошкольного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09000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85040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01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85350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  <w:lang w:val="en-US"/>
              </w:rPr>
            </w:pPr>
            <w:r w:rsidRPr="00B73B92">
              <w:rPr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B73B92">
              <w:rPr>
                <w:b/>
                <w:sz w:val="19"/>
                <w:szCs w:val="19"/>
              </w:rPr>
              <w:t>00000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b/>
                <w:sz w:val="19"/>
                <w:szCs w:val="19"/>
              </w:rPr>
              <w:t>Основное мероприятие "Развитие системы общего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09000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85090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85130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  <w:lang w:val="en-US"/>
              </w:rPr>
            </w:pPr>
            <w:r w:rsidRPr="00B73B92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73B92">
              <w:rPr>
                <w:sz w:val="19"/>
                <w:szCs w:val="19"/>
              </w:rPr>
              <w:t>85420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B73B92">
              <w:rPr>
                <w:rFonts w:ascii="Times New Roman" w:hAnsi="Times New Roman" w:cs="Times New Roman"/>
                <w:sz w:val="19"/>
                <w:szCs w:val="19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99999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917070" w:rsidRPr="00B73B92" w:rsidTr="001A0602">
        <w:tc>
          <w:tcPr>
            <w:tcW w:w="517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07</w:t>
            </w:r>
          </w:p>
        </w:tc>
        <w:tc>
          <w:tcPr>
            <w:tcW w:w="410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1</w:t>
            </w:r>
          </w:p>
        </w:tc>
        <w:tc>
          <w:tcPr>
            <w:tcW w:w="546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</w:rPr>
            </w:pPr>
            <w:r w:rsidRPr="00B73B92">
              <w:rPr>
                <w:sz w:val="20"/>
                <w:szCs w:val="19"/>
              </w:rPr>
              <w:t>02</w:t>
            </w:r>
          </w:p>
        </w:tc>
        <w:tc>
          <w:tcPr>
            <w:tcW w:w="903" w:type="dxa"/>
          </w:tcPr>
          <w:p w:rsidR="00917070" w:rsidRPr="00B73B92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19"/>
                <w:lang w:val="en-US"/>
              </w:rPr>
            </w:pPr>
            <w:r w:rsidRPr="00B73B92">
              <w:rPr>
                <w:sz w:val="20"/>
                <w:szCs w:val="19"/>
                <w:lang w:val="en-US"/>
              </w:rPr>
              <w:t>S6560</w:t>
            </w:r>
          </w:p>
        </w:tc>
        <w:tc>
          <w:tcPr>
            <w:tcW w:w="7938" w:type="dxa"/>
          </w:tcPr>
          <w:p w:rsidR="00917070" w:rsidRPr="00B73B92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19"/>
              </w:rPr>
            </w:pPr>
            <w:r w:rsidRPr="00B73B92">
              <w:rPr>
                <w:rFonts w:ascii="Times New Roman" w:hAnsi="Times New Roman" w:cs="Times New Roman"/>
                <w:sz w:val="20"/>
                <w:szCs w:val="19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"Содержание аппарата отдела образования администрации </w:t>
            </w: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85251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91ADE" w:rsidRPr="00C5261D" w:rsidRDefault="00891ADE" w:rsidP="001A1218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91ADE" w:rsidRPr="00C5261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91ADE" w:rsidRPr="00774113" w:rsidRDefault="00891ADE" w:rsidP="001A1218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S659</w:t>
            </w:r>
            <w:r w:rsidRPr="009205DB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7290" w:rsidRPr="004C7290" w:rsidTr="001A0602">
        <w:tc>
          <w:tcPr>
            <w:tcW w:w="517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C729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7290" w:rsidRPr="004C7290" w:rsidRDefault="004C729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290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C7290" w:rsidRPr="00B03579" w:rsidTr="001A0602">
        <w:tc>
          <w:tcPr>
            <w:tcW w:w="517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903" w:type="dxa"/>
          </w:tcPr>
          <w:p w:rsidR="004C7290" w:rsidRPr="004C7290" w:rsidRDefault="004C729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53030</w:t>
            </w:r>
          </w:p>
        </w:tc>
        <w:tc>
          <w:tcPr>
            <w:tcW w:w="7938" w:type="dxa"/>
          </w:tcPr>
          <w:p w:rsidR="004C7290" w:rsidRPr="004C7290" w:rsidRDefault="004C729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C72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917070" w:rsidRPr="00B0357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357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035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917070" w:rsidRPr="00B03579" w:rsidTr="001A0602">
        <w:tc>
          <w:tcPr>
            <w:tcW w:w="517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917070" w:rsidRPr="00AA60E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0E9">
              <w:rPr>
                <w:sz w:val="20"/>
                <w:szCs w:val="20"/>
                <w:lang w:val="en-US"/>
              </w:rPr>
              <w:t>R</w:t>
            </w:r>
            <w:r w:rsidRPr="00AA60E9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0E9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  <w:lang w:val="en-US"/>
              </w:rPr>
              <w:t>S</w:t>
            </w:r>
            <w:r w:rsidRPr="009205DB">
              <w:rPr>
                <w:sz w:val="20"/>
                <w:szCs w:val="20"/>
              </w:rPr>
              <w:t>6310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безбарьерной</w:t>
            </w:r>
            <w:proofErr w:type="spellEnd"/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  <w:r w:rsidRPr="009205D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S</w:t>
            </w:r>
            <w:r w:rsidRPr="009205DB">
              <w:rPr>
                <w:sz w:val="20"/>
                <w:szCs w:val="20"/>
              </w:rPr>
              <w:t>6</w:t>
            </w:r>
            <w:r w:rsidRPr="009205DB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выполнение требований пожарной безопасности образовательных </w:t>
            </w:r>
            <w:r w:rsidRPr="00920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917070" w:rsidRPr="00865B43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5B4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865B43" w:rsidRDefault="00816BFE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F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85460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"Успех каждого ребенка"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509</w:t>
            </w:r>
            <w:r w:rsidRPr="009205DB">
              <w:rPr>
                <w:sz w:val="20"/>
                <w:szCs w:val="20"/>
              </w:rPr>
              <w:t>8</w:t>
            </w:r>
            <w:r w:rsidRPr="009205D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4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  <w:lang w:val="en-US"/>
              </w:rPr>
              <w:t>E</w:t>
            </w:r>
            <w:r w:rsidRPr="004E7BD9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BD9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4E7BD9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b/>
                <w:sz w:val="20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0"/>
              </w:rPr>
              <w:t>ый</w:t>
            </w:r>
            <w:r w:rsidRPr="004E7BD9">
              <w:rPr>
                <w:rFonts w:ascii="Times New Roman" w:hAnsi="Times New Roman" w:cs="Times New Roman"/>
                <w:b/>
                <w:sz w:val="20"/>
              </w:rPr>
              <w:t xml:space="preserve"> проект "Патриотическое воспитание граждан Российской Федерации"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  <w:lang w:val="en-US"/>
              </w:rPr>
              <w:t>E</w:t>
            </w:r>
            <w:r w:rsidRPr="004E7BD9">
              <w:rPr>
                <w:sz w:val="20"/>
                <w:szCs w:val="20"/>
              </w:rPr>
              <w:t>В</w:t>
            </w:r>
          </w:p>
        </w:tc>
        <w:tc>
          <w:tcPr>
            <w:tcW w:w="903" w:type="dxa"/>
          </w:tcPr>
          <w:p w:rsidR="00917070" w:rsidRPr="004E7BD9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BD9">
              <w:rPr>
                <w:sz w:val="20"/>
                <w:szCs w:val="20"/>
              </w:rPr>
              <w:t>51790</w:t>
            </w:r>
          </w:p>
        </w:tc>
        <w:tc>
          <w:tcPr>
            <w:tcW w:w="7938" w:type="dxa"/>
          </w:tcPr>
          <w:p w:rsidR="00917070" w:rsidRPr="004E7BD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E7B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обучению, воспитанию, содержанию детей-сирот и детей, оставшихся без попечения родителей, и психолого-педагогическая помощь детям в Грязинском муниципальном районе Липецкой области в 2020 – 2026 гг."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917070" w:rsidRPr="00AA60E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917070" w:rsidRPr="00AA60E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917070" w:rsidRPr="009205DB" w:rsidTr="001A0602">
        <w:trPr>
          <w:trHeight w:val="275"/>
        </w:trPr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5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 – 2026 гг."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на территории Грязинского муниципального района на 2022 – 2026 годы"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  <w:r w:rsidRPr="009205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</w:t>
            </w: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</w:t>
            </w:r>
            <w:r w:rsidRPr="00920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или в ведении органов местного самоуправления"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lastRenderedPageBreak/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</w:t>
            </w: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9205D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917070" w:rsidRPr="00B03579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91ADE" w:rsidRPr="00FF639D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91ADE" w:rsidRPr="00FF639D" w:rsidRDefault="00891ADE" w:rsidP="001A12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05D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A60A5" w:rsidRPr="009A60A5" w:rsidTr="001A0602">
        <w:tc>
          <w:tcPr>
            <w:tcW w:w="517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A60A5" w:rsidRPr="009A60A5" w:rsidRDefault="009A60A5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</w:t>
            </w:r>
          </w:p>
        </w:tc>
        <w:tc>
          <w:tcPr>
            <w:tcW w:w="7938" w:type="dxa"/>
          </w:tcPr>
          <w:p w:rsidR="009A60A5" w:rsidRPr="009A60A5" w:rsidRDefault="009A60A5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A60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судебных расходов по исполнительным листам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917070" w:rsidRPr="009205DB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05DB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17070" w:rsidRPr="00B03579" w:rsidTr="001A0602">
        <w:tc>
          <w:tcPr>
            <w:tcW w:w="517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17070" w:rsidRPr="009205DB" w:rsidRDefault="00917070" w:rsidP="001A06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205DB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917070" w:rsidRPr="009205DB" w:rsidRDefault="00917070" w:rsidP="001A060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205DB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891ADE" w:rsidRPr="00B03579" w:rsidTr="001A0602">
        <w:tc>
          <w:tcPr>
            <w:tcW w:w="517" w:type="dxa"/>
          </w:tcPr>
          <w:p w:rsidR="00891ADE" w:rsidRPr="00C20239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91ADE" w:rsidRPr="00C20239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91ADE" w:rsidRPr="00C20239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91ADE" w:rsidRPr="00C20239" w:rsidRDefault="00891ADE" w:rsidP="001A1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91ADE" w:rsidRPr="00FF639D" w:rsidRDefault="00891ADE" w:rsidP="001A121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9754D1"/>
    <w:multiLevelType w:val="hybridMultilevel"/>
    <w:tmpl w:val="793EA4BC"/>
    <w:lvl w:ilvl="0" w:tplc="8CF65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3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98D"/>
    <w:multiLevelType w:val="hybridMultilevel"/>
    <w:tmpl w:val="C67C16F4"/>
    <w:lvl w:ilvl="0" w:tplc="4236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520B73"/>
    <w:multiLevelType w:val="hybridMultilevel"/>
    <w:tmpl w:val="D7C2F026"/>
    <w:lvl w:ilvl="0" w:tplc="A80A20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3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A723C7"/>
    <w:multiLevelType w:val="hybridMultilevel"/>
    <w:tmpl w:val="7410E8A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6"/>
  </w:num>
  <w:num w:numId="5">
    <w:abstractNumId w:val="0"/>
  </w:num>
  <w:num w:numId="6">
    <w:abstractNumId w:val="15"/>
  </w:num>
  <w:num w:numId="7">
    <w:abstractNumId w:val="20"/>
  </w:num>
  <w:num w:numId="8">
    <w:abstractNumId w:val="27"/>
  </w:num>
  <w:num w:numId="9">
    <w:abstractNumId w:val="19"/>
  </w:num>
  <w:num w:numId="10">
    <w:abstractNumId w:val="21"/>
  </w:num>
  <w:num w:numId="11">
    <w:abstractNumId w:val="3"/>
  </w:num>
  <w:num w:numId="12">
    <w:abstractNumId w:val="11"/>
  </w:num>
  <w:num w:numId="13">
    <w:abstractNumId w:val="7"/>
  </w:num>
  <w:num w:numId="14">
    <w:abstractNumId w:val="25"/>
  </w:num>
  <w:num w:numId="15">
    <w:abstractNumId w:val="28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  <w:num w:numId="20">
    <w:abstractNumId w:val="14"/>
  </w:num>
  <w:num w:numId="21">
    <w:abstractNumId w:val="2"/>
  </w:num>
  <w:num w:numId="22">
    <w:abstractNumId w:val="18"/>
  </w:num>
  <w:num w:numId="23">
    <w:abstractNumId w:val="23"/>
  </w:num>
  <w:num w:numId="24">
    <w:abstractNumId w:val="4"/>
  </w:num>
  <w:num w:numId="25">
    <w:abstractNumId w:val="8"/>
  </w:num>
  <w:num w:numId="26">
    <w:abstractNumId w:val="26"/>
  </w:num>
  <w:num w:numId="27">
    <w:abstractNumId w:val="24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21FA5"/>
    <w:rsid w:val="000E2098"/>
    <w:rsid w:val="000E2E5D"/>
    <w:rsid w:val="00156DB0"/>
    <w:rsid w:val="0016679B"/>
    <w:rsid w:val="001A0602"/>
    <w:rsid w:val="00212843"/>
    <w:rsid w:val="00232124"/>
    <w:rsid w:val="00283834"/>
    <w:rsid w:val="00351BAA"/>
    <w:rsid w:val="004B35DA"/>
    <w:rsid w:val="004C2B4B"/>
    <w:rsid w:val="004C7290"/>
    <w:rsid w:val="004E7BD9"/>
    <w:rsid w:val="004F4FB5"/>
    <w:rsid w:val="00515912"/>
    <w:rsid w:val="00517059"/>
    <w:rsid w:val="005405FC"/>
    <w:rsid w:val="005476C9"/>
    <w:rsid w:val="005F2CBB"/>
    <w:rsid w:val="006009C1"/>
    <w:rsid w:val="006569AB"/>
    <w:rsid w:val="007119D9"/>
    <w:rsid w:val="00747ABC"/>
    <w:rsid w:val="00750F10"/>
    <w:rsid w:val="007A5BF0"/>
    <w:rsid w:val="00816BFE"/>
    <w:rsid w:val="00877190"/>
    <w:rsid w:val="00887AA1"/>
    <w:rsid w:val="00891ADE"/>
    <w:rsid w:val="008F69F1"/>
    <w:rsid w:val="00917070"/>
    <w:rsid w:val="0094145B"/>
    <w:rsid w:val="00952385"/>
    <w:rsid w:val="009A60A5"/>
    <w:rsid w:val="009F49F2"/>
    <w:rsid w:val="00A24909"/>
    <w:rsid w:val="00AE548E"/>
    <w:rsid w:val="00B7284D"/>
    <w:rsid w:val="00B73B92"/>
    <w:rsid w:val="00B842D7"/>
    <w:rsid w:val="00C42A90"/>
    <w:rsid w:val="00C617FB"/>
    <w:rsid w:val="00C63A48"/>
    <w:rsid w:val="00CA6DF2"/>
    <w:rsid w:val="00CE5248"/>
    <w:rsid w:val="00CF63E9"/>
    <w:rsid w:val="00D5293A"/>
    <w:rsid w:val="00DC7DB0"/>
    <w:rsid w:val="00E56934"/>
    <w:rsid w:val="00F12DA6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AE576C403D21B5DCDC09E3B38DDCBBB55865C0FE307EA6268E8AB9FD845142EE1E8Ar1p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4E7531CCB2FEBDB4CDAE576C403D21B8DBD609E0B0D0D6B3EC5467C7F16F7BB337D687B0EA9B515DF21C8813r8p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7985</Words>
  <Characters>45517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2023-04-26T05:53:00Z</cp:lastPrinted>
  <dcterms:created xsi:type="dcterms:W3CDTF">2021-02-17T07:49:00Z</dcterms:created>
  <dcterms:modified xsi:type="dcterms:W3CDTF">2023-04-26T05:54:00Z</dcterms:modified>
</cp:coreProperties>
</file>