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C0" w:rsidRPr="00762C16" w:rsidRDefault="000724C0" w:rsidP="000724C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724C0" w:rsidRPr="000A3A9D" w:rsidTr="00793AED">
        <w:trPr>
          <w:trHeight w:val="1089"/>
          <w:jc w:val="right"/>
        </w:trPr>
        <w:tc>
          <w:tcPr>
            <w:tcW w:w="2500" w:type="pct"/>
            <w:vAlign w:val="center"/>
          </w:tcPr>
          <w:p w:rsidR="000724C0" w:rsidRPr="00762C16" w:rsidRDefault="000724C0" w:rsidP="00793AED">
            <w:pPr>
              <w:jc w:val="center"/>
              <w:rPr>
                <w:sz w:val="28"/>
                <w:szCs w:val="28"/>
              </w:rPr>
            </w:pPr>
          </w:p>
          <w:p w:rsidR="000724C0" w:rsidRPr="00212FC4" w:rsidRDefault="00B77C75" w:rsidP="00A66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66E0B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0724C0">
              <w:rPr>
                <w:sz w:val="28"/>
                <w:szCs w:val="28"/>
              </w:rPr>
              <w:t>.</w:t>
            </w:r>
            <w:r w:rsidR="004E37D0">
              <w:rPr>
                <w:sz w:val="28"/>
                <w:szCs w:val="28"/>
              </w:rPr>
              <w:t>1</w:t>
            </w:r>
            <w:r w:rsidR="00844FC0">
              <w:rPr>
                <w:sz w:val="28"/>
                <w:szCs w:val="28"/>
              </w:rPr>
              <w:t>2</w:t>
            </w:r>
            <w:r w:rsidR="000724C0">
              <w:rPr>
                <w:sz w:val="28"/>
                <w:szCs w:val="28"/>
              </w:rPr>
              <w:t>.20</w:t>
            </w:r>
            <w:r w:rsidR="007254FF">
              <w:rPr>
                <w:sz w:val="28"/>
                <w:szCs w:val="28"/>
              </w:rPr>
              <w:t>20</w:t>
            </w:r>
            <w:r w:rsidR="000724C0" w:rsidRPr="000A3A9D">
              <w:rPr>
                <w:sz w:val="28"/>
                <w:szCs w:val="28"/>
              </w:rPr>
              <w:t xml:space="preserve"> года </w:t>
            </w:r>
            <w:r w:rsidR="000724C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0724C0" w:rsidRPr="000724C0" w:rsidRDefault="000724C0" w:rsidP="00793AED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B77C75">
              <w:rPr>
                <w:sz w:val="28"/>
                <w:szCs w:val="28"/>
              </w:rPr>
              <w:t>80</w:t>
            </w:r>
          </w:p>
        </w:tc>
      </w:tr>
    </w:tbl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25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201</w:t>
      </w:r>
      <w:r>
        <w:rPr>
          <w:szCs w:val="28"/>
        </w:rPr>
        <w:t>9</w:t>
      </w:r>
      <w:r w:rsidRPr="00677C63">
        <w:rPr>
          <w:szCs w:val="28"/>
        </w:rPr>
        <w:t xml:space="preserve"> года № </w:t>
      </w:r>
      <w:r w:rsidRPr="00B75B8A">
        <w:rPr>
          <w:szCs w:val="28"/>
        </w:rPr>
        <w:t>8</w:t>
      </w:r>
      <w:r>
        <w:rPr>
          <w:szCs w:val="28"/>
        </w:rPr>
        <w:t>3</w:t>
      </w:r>
      <w:r w:rsidRPr="00677C63">
        <w:rPr>
          <w:szCs w:val="28"/>
        </w:rPr>
        <w:t xml:space="preserve"> </w:t>
      </w:r>
      <w:r w:rsidR="005C1A9D"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7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0724C0" w:rsidRDefault="000724C0" w:rsidP="000724C0">
      <w:pPr>
        <w:pStyle w:val="a3"/>
        <w:jc w:val="left"/>
      </w:pPr>
      <w:r w:rsidRPr="00677C63">
        <w:rPr>
          <w:sz w:val="24"/>
        </w:rPr>
        <w:t>муниципального района</w:t>
      </w:r>
      <w:r w:rsidR="005C1A9D">
        <w:rPr>
          <w:sz w:val="24"/>
        </w:rPr>
        <w:t>"</w:t>
      </w:r>
    </w:p>
    <w:p w:rsidR="000724C0" w:rsidRPr="00A31CF4" w:rsidRDefault="000724C0" w:rsidP="000724C0">
      <w:pPr>
        <w:pStyle w:val="a3"/>
        <w:jc w:val="left"/>
        <w:rPr>
          <w:szCs w:val="28"/>
        </w:rPr>
      </w:pPr>
    </w:p>
    <w:p w:rsidR="000724C0" w:rsidRPr="00677C63" w:rsidRDefault="000724C0" w:rsidP="000724C0">
      <w:pPr>
        <w:jc w:val="both"/>
        <w:rPr>
          <w:b/>
          <w:szCs w:val="28"/>
        </w:rPr>
      </w:pPr>
      <w:proofErr w:type="gramStart"/>
      <w:r w:rsidRPr="00677C63">
        <w:rPr>
          <w:b/>
          <w:szCs w:val="28"/>
        </w:rPr>
        <w:t>П</w:t>
      </w:r>
      <w:proofErr w:type="gramEnd"/>
      <w:r w:rsidRPr="00677C63">
        <w:rPr>
          <w:b/>
          <w:szCs w:val="28"/>
        </w:rPr>
        <w:t xml:space="preserve"> Р И К А З Ы В А Ю:</w:t>
      </w:r>
    </w:p>
    <w:tbl>
      <w:tblPr>
        <w:tblW w:w="91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0724C0" w:rsidRPr="004B2417" w:rsidTr="00793AED">
        <w:trPr>
          <w:trHeight w:val="68"/>
        </w:trPr>
        <w:tc>
          <w:tcPr>
            <w:tcW w:w="4680" w:type="dxa"/>
            <w:shd w:val="clear" w:color="auto" w:fill="auto"/>
          </w:tcPr>
          <w:p w:rsidR="000724C0" w:rsidRPr="004B2417" w:rsidRDefault="000724C0" w:rsidP="00793A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500" w:type="dxa"/>
          </w:tcPr>
          <w:p w:rsidR="000724C0" w:rsidRPr="004B2417" w:rsidRDefault="000724C0" w:rsidP="00793AED">
            <w:pPr>
              <w:pStyle w:val="ConsPlusNonformat"/>
              <w:widowControl/>
              <w:ind w:left="-1134" w:hanging="817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:rsidR="00D005F5" w:rsidRDefault="000724C0" w:rsidP="000724C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25</w:t>
      </w:r>
      <w:r w:rsidRPr="00677C63">
        <w:t xml:space="preserve"> </w:t>
      </w:r>
      <w:r>
        <w:t>декабря</w:t>
      </w:r>
      <w:r w:rsidRPr="00677C63">
        <w:t xml:space="preserve"> 201</w:t>
      </w:r>
      <w:r>
        <w:t>9</w:t>
      </w:r>
      <w:r w:rsidRPr="00677C63">
        <w:t xml:space="preserve"> года № </w:t>
      </w:r>
      <w:r>
        <w:t>83</w:t>
      </w:r>
      <w:r w:rsidRPr="00677C63">
        <w:t xml:space="preserve"> </w:t>
      </w:r>
      <w:r w:rsidR="005C1A9D"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 w:rsidR="005C1A9D">
        <w:t>"</w:t>
      </w:r>
      <w:r w:rsidRPr="00677C63">
        <w:t xml:space="preserve"> следующие изменения:</w:t>
      </w:r>
    </w:p>
    <w:p w:rsidR="000724C0" w:rsidRDefault="000724C0" w:rsidP="000724C0">
      <w:pPr>
        <w:ind w:firstLine="720"/>
        <w:jc w:val="both"/>
      </w:pPr>
      <w:r w:rsidRPr="00677C63">
        <w:t>в приложение к приказу:</w:t>
      </w:r>
    </w:p>
    <w:p w:rsidR="00333E6F" w:rsidRPr="002B1F53" w:rsidRDefault="00333E6F" w:rsidP="000724C0">
      <w:pPr>
        <w:ind w:firstLine="720"/>
        <w:jc w:val="both"/>
      </w:pPr>
    </w:p>
    <w:p w:rsidR="0046138D" w:rsidRDefault="0046138D" w:rsidP="005C1A9D">
      <w:pPr>
        <w:ind w:firstLine="708"/>
        <w:jc w:val="both"/>
      </w:pPr>
      <w:r>
        <w:t>1</w:t>
      </w:r>
      <w:r w:rsidR="00621EB1">
        <w:t>)</w:t>
      </w:r>
      <w:r w:rsidR="000724C0" w:rsidRPr="000724C0">
        <w:rPr>
          <w:sz w:val="22"/>
        </w:rPr>
        <w:t xml:space="preserve"> </w:t>
      </w:r>
      <w:r>
        <w:rPr>
          <w:sz w:val="22"/>
        </w:rPr>
        <w:t>В р</w:t>
      </w:r>
      <w:r w:rsidR="000724C0" w:rsidRPr="000724C0">
        <w:t xml:space="preserve">аздел III. </w:t>
      </w:r>
      <w:r w:rsidR="005C1A9D">
        <w:t>"</w:t>
      </w:r>
      <w:r w:rsidR="000724C0" w:rsidRPr="000724C0">
        <w:t>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</w:t>
      </w:r>
      <w:r w:rsidR="005C1A9D">
        <w:t>"</w:t>
      </w:r>
      <w:r w:rsidR="00793AED">
        <w:t xml:space="preserve"> </w:t>
      </w:r>
      <w:r>
        <w:t xml:space="preserve">внести </w:t>
      </w:r>
      <w:r w:rsidR="00793AED">
        <w:t>следующи</w:t>
      </w:r>
      <w:r>
        <w:t>е изменения</w:t>
      </w:r>
      <w:r w:rsidR="00793AED">
        <w:t>:</w:t>
      </w:r>
    </w:p>
    <w:p w:rsidR="0026033A" w:rsidRDefault="0026033A" w:rsidP="005C1A9D">
      <w:pPr>
        <w:ind w:firstLine="708"/>
        <w:jc w:val="both"/>
      </w:pPr>
    </w:p>
    <w:p w:rsidR="0046138D" w:rsidRDefault="00891490" w:rsidP="00891490">
      <w:pPr>
        <w:ind w:firstLine="567"/>
        <w:jc w:val="both"/>
      </w:pPr>
      <w:r>
        <w:t xml:space="preserve">- </w:t>
      </w:r>
      <w:r w:rsidR="0046138D">
        <w:t xml:space="preserve">направление расходов "51350" изложить в новой редакции: </w:t>
      </w:r>
    </w:p>
    <w:p w:rsidR="0046138D" w:rsidRDefault="0046138D" w:rsidP="0046138D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t>"</w:t>
      </w:r>
      <w:r w:rsidRPr="0046138D">
        <w:rPr>
          <w:rFonts w:ascii="Times New Roman" w:hAnsi="Times New Roman" w:cs="Times New Roman"/>
          <w:sz w:val="24"/>
          <w:szCs w:val="24"/>
        </w:rPr>
        <w:t>51350</w:t>
      </w:r>
      <w:r w:rsidRPr="00996CAD"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обеспечению жильем отдельных категорий граждан, установленных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96CAD">
        <w:rPr>
          <w:rFonts w:ascii="Times New Roman" w:hAnsi="Times New Roman" w:cs="Times New Roman"/>
          <w:sz w:val="24"/>
          <w:szCs w:val="24"/>
        </w:rPr>
        <w:t>едеральным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6CAD">
        <w:rPr>
          <w:rFonts w:ascii="Times New Roman" w:hAnsi="Times New Roman" w:cs="Times New Roman"/>
          <w:sz w:val="24"/>
          <w:szCs w:val="24"/>
        </w:rPr>
        <w:t xml:space="preserve">м от 12 января 1995 года № 5-ФЗ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>О ветеранах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6138D" w:rsidRPr="00996CAD" w:rsidRDefault="0046138D" w:rsidP="0046138D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CAD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96CAD">
        <w:rPr>
          <w:rFonts w:ascii="Times New Roman" w:hAnsi="Times New Roman" w:cs="Times New Roman"/>
          <w:sz w:val="24"/>
          <w:szCs w:val="24"/>
        </w:rPr>
        <w:t xml:space="preserve">бюджета, </w:t>
      </w: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субвенции из областного бюджета</w:t>
      </w:r>
      <w:r w:rsidRPr="008065F5">
        <w:rPr>
          <w:rFonts w:ascii="Times New Roman" w:hAnsi="Times New Roman" w:cs="Times New Roman"/>
          <w:sz w:val="24"/>
          <w:szCs w:val="24"/>
        </w:rPr>
        <w:t xml:space="preserve"> </w:t>
      </w:r>
      <w:r w:rsidRPr="00996CAD">
        <w:rPr>
          <w:rFonts w:ascii="Times New Roman" w:hAnsi="Times New Roman" w:cs="Times New Roman"/>
          <w:sz w:val="24"/>
          <w:szCs w:val="24"/>
        </w:rPr>
        <w:t>на выполнение обязательств Российской Федерации, связанных с обеспечением жильем 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</w:t>
      </w:r>
      <w:proofErr w:type="gramEnd"/>
      <w:r w:rsidRPr="00996CAD">
        <w:rPr>
          <w:rFonts w:ascii="Times New Roman" w:hAnsi="Times New Roman" w:cs="Times New Roman"/>
          <w:sz w:val="24"/>
          <w:szCs w:val="24"/>
        </w:rPr>
        <w:t xml:space="preserve"> военной службы (служебных обязанностей); ветеранов боевых действий;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996CA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96CAD">
        <w:rPr>
          <w:rFonts w:ascii="Times New Roman" w:hAnsi="Times New Roman" w:cs="Times New Roman"/>
          <w:sz w:val="24"/>
          <w:szCs w:val="24"/>
        </w:rPr>
        <w:t xml:space="preserve"> пропавшими без вести в районах боевых дей</w:t>
      </w:r>
      <w:r>
        <w:rPr>
          <w:rFonts w:ascii="Times New Roman" w:hAnsi="Times New Roman" w:cs="Times New Roman"/>
          <w:sz w:val="24"/>
          <w:szCs w:val="24"/>
        </w:rPr>
        <w:t xml:space="preserve">ствий, </w:t>
      </w:r>
      <w:r w:rsidRPr="00996CAD">
        <w:rPr>
          <w:rFonts w:ascii="Times New Roman" w:hAnsi="Times New Roman" w:cs="Times New Roman"/>
          <w:sz w:val="24"/>
          <w:szCs w:val="24"/>
        </w:rPr>
        <w:t>осуществляемые за счет межбюджетных трансфертов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ED" w:rsidRDefault="0046138D" w:rsidP="0046138D">
      <w:pPr>
        <w:ind w:firstLine="567"/>
        <w:jc w:val="both"/>
      </w:pPr>
      <w:r w:rsidRPr="00996CAD">
        <w:t xml:space="preserve">Поступление субвенций на указанные цели отражается по соответствующим кодам вида доходов 000 2 02 35135 00 0000 150 </w:t>
      </w:r>
      <w:r>
        <w:t>"</w:t>
      </w:r>
      <w:r w:rsidRPr="009533E9">
        <w:rPr>
          <w:szCs w:val="20"/>
        </w:rPr>
        <w:t xml:space="preserve">Субвенции бюджетам на осуществление полномочий по обеспечению жильем отдельных категорий граждан, установленных </w:t>
      </w:r>
      <w:r w:rsidRPr="009533E9">
        <w:rPr>
          <w:szCs w:val="20"/>
        </w:rPr>
        <w:lastRenderedPageBreak/>
        <w:t xml:space="preserve">Федеральным </w:t>
      </w:r>
      <w:hyperlink r:id="rId9" w:history="1">
        <w:r w:rsidRPr="009533E9">
          <w:rPr>
            <w:szCs w:val="20"/>
          </w:rPr>
          <w:t>законом</w:t>
        </w:r>
      </w:hyperlink>
      <w:r w:rsidRPr="009533E9">
        <w:rPr>
          <w:szCs w:val="20"/>
        </w:rPr>
        <w:t xml:space="preserve"> от 12 января 1995 года </w:t>
      </w:r>
      <w:r>
        <w:rPr>
          <w:szCs w:val="20"/>
        </w:rPr>
        <w:t>№</w:t>
      </w:r>
      <w:r w:rsidRPr="009533E9">
        <w:rPr>
          <w:szCs w:val="20"/>
        </w:rPr>
        <w:t xml:space="preserve"> 5-ФЗ "О ветеранах"</w:t>
      </w:r>
      <w:r w:rsidRPr="00996CAD">
        <w:t xml:space="preserve"> классификации доходов бюджетов</w:t>
      </w:r>
      <w:proofErr w:type="gramStart"/>
      <w:r w:rsidRPr="00996CAD">
        <w:t>.</w:t>
      </w:r>
      <w:r>
        <w:t>";</w:t>
      </w:r>
      <w:proofErr w:type="gramEnd"/>
    </w:p>
    <w:p w:rsidR="0026033A" w:rsidRDefault="0026033A" w:rsidP="0046138D">
      <w:pPr>
        <w:ind w:firstLine="567"/>
        <w:jc w:val="both"/>
      </w:pPr>
    </w:p>
    <w:p w:rsidR="0046138D" w:rsidRDefault="00891490" w:rsidP="0046138D">
      <w:pPr>
        <w:ind w:firstLine="567"/>
        <w:jc w:val="both"/>
      </w:pPr>
      <w:r>
        <w:t xml:space="preserve">- </w:t>
      </w:r>
      <w:r w:rsidR="0046138D">
        <w:t>направление расходов "59300" изложить в новой редакции:</w:t>
      </w:r>
    </w:p>
    <w:p w:rsidR="0046138D" w:rsidRPr="00996CAD" w:rsidRDefault="0046138D" w:rsidP="0046138D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"59300 </w:t>
      </w:r>
      <w:r w:rsidRPr="00996CAD">
        <w:rPr>
          <w:rFonts w:ascii="Times New Roman" w:hAnsi="Times New Roman" w:cs="Times New Roman"/>
          <w:sz w:val="24"/>
          <w:szCs w:val="24"/>
        </w:rPr>
        <w:t>Осуществление переданных полномочий Российской Федерации на государственную регистрацию актов гражданского состояния</w:t>
      </w:r>
    </w:p>
    <w:p w:rsidR="0046138D" w:rsidRPr="00996CAD" w:rsidRDefault="0046138D" w:rsidP="0046138D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CAD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996CAD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 государственной регистрации актов гражданского состояния, источником финансового обеспечения которых являются</w:t>
      </w:r>
      <w:r w:rsidRPr="00524E46">
        <w:rPr>
          <w:rFonts w:ascii="Times New Roman" w:hAnsi="Times New Roman" w:cs="Times New Roman"/>
          <w:sz w:val="24"/>
          <w:szCs w:val="24"/>
        </w:rPr>
        <w:t xml:space="preserve"> </w:t>
      </w:r>
      <w:r w:rsidRPr="00996CAD">
        <w:rPr>
          <w:rFonts w:ascii="Times New Roman" w:hAnsi="Times New Roman" w:cs="Times New Roman"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996CAD">
        <w:rPr>
          <w:rFonts w:ascii="Times New Roman" w:hAnsi="Times New Roman" w:cs="Times New Roman"/>
          <w:sz w:val="24"/>
          <w:szCs w:val="24"/>
        </w:rPr>
        <w:t>областного бюджета на осуществление федеральных полномочий по государственной регистрации актов гражданского состояния.</w:t>
      </w:r>
    </w:p>
    <w:p w:rsidR="0046138D" w:rsidRDefault="0046138D" w:rsidP="0046138D">
      <w:pPr>
        <w:ind w:firstLine="567"/>
        <w:jc w:val="both"/>
      </w:pPr>
      <w:r w:rsidRPr="00996CAD">
        <w:t xml:space="preserve">Поступление субвенций в местные бюджеты на указанные цели отражается по соответствующим кодам вида доходов 000 2 02 35930 00 0000 150 </w:t>
      </w:r>
      <w:r>
        <w:t>"</w:t>
      </w:r>
      <w:r w:rsidRPr="00996CAD">
        <w:t>Субвенции бюджетам на государственную регистрацию актов гражданского состояния</w:t>
      </w:r>
      <w:r>
        <w:t>"</w:t>
      </w:r>
      <w:r w:rsidRPr="00996CAD">
        <w:t xml:space="preserve"> классификации доходов бюджетов</w:t>
      </w:r>
      <w:proofErr w:type="gramStart"/>
      <w:r w:rsidRPr="00996CAD">
        <w:t>.</w:t>
      </w:r>
      <w:r w:rsidR="00891490">
        <w:t>";</w:t>
      </w:r>
      <w:proofErr w:type="gramEnd"/>
    </w:p>
    <w:p w:rsidR="0026033A" w:rsidRDefault="0026033A" w:rsidP="0046138D">
      <w:pPr>
        <w:ind w:firstLine="567"/>
        <w:jc w:val="both"/>
      </w:pPr>
    </w:p>
    <w:p w:rsidR="00891490" w:rsidRDefault="00891490" w:rsidP="0046138D">
      <w:pPr>
        <w:ind w:firstLine="567"/>
        <w:jc w:val="both"/>
      </w:pPr>
      <w:r>
        <w:t>- направление расходов "85040" изложить в новой редакции:</w:t>
      </w:r>
    </w:p>
    <w:p w:rsidR="00891490" w:rsidRPr="00996CAD" w:rsidRDefault="00891490" w:rsidP="00891490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490">
        <w:rPr>
          <w:rFonts w:ascii="Times New Roman" w:hAnsi="Times New Roman" w:cs="Times New Roman"/>
          <w:sz w:val="24"/>
          <w:szCs w:val="24"/>
        </w:rPr>
        <w:t>"85040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96CAD">
        <w:rPr>
          <w:rFonts w:ascii="Times New Roman" w:hAnsi="Times New Roman" w:cs="Times New Roman"/>
          <w:sz w:val="24"/>
          <w:szCs w:val="24"/>
        </w:rPr>
        <w:t xml:space="preserve">омпенсационные выплаты за </w:t>
      </w:r>
      <w:r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  <w:r w:rsidRPr="00996CAD">
        <w:rPr>
          <w:rFonts w:ascii="Times New Roman" w:hAnsi="Times New Roman" w:cs="Times New Roman"/>
          <w:sz w:val="24"/>
          <w:szCs w:val="24"/>
        </w:rPr>
        <w:t>в образовательной организации, реализующей основную общеобразовательную программу дошкольного образования</w:t>
      </w:r>
    </w:p>
    <w:p w:rsidR="00891490" w:rsidRPr="00996CAD" w:rsidRDefault="00891490" w:rsidP="00891490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CAD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96CA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субвенция из областного бюджета </w:t>
      </w:r>
      <w:r w:rsidRPr="00996CAD">
        <w:rPr>
          <w:rFonts w:ascii="Times New Roman" w:hAnsi="Times New Roman" w:cs="Times New Roman"/>
          <w:sz w:val="24"/>
          <w:szCs w:val="24"/>
        </w:rPr>
        <w:t>на 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образования.</w:t>
      </w:r>
    </w:p>
    <w:p w:rsidR="00891490" w:rsidRDefault="00891490" w:rsidP="00891490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CAD">
        <w:rPr>
          <w:rFonts w:ascii="Times New Roman" w:hAnsi="Times New Roman" w:cs="Times New Roman"/>
          <w:sz w:val="24"/>
          <w:szCs w:val="24"/>
        </w:rPr>
        <w:t>Поступление субвенции на указанные цели отражается по соответствующим кодам вида доходов 000 2 02 30029 00 0000 15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996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6033A" w:rsidRPr="00996CAD" w:rsidRDefault="0026033A" w:rsidP="00891490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401" w:rsidRDefault="00891490" w:rsidP="0026033A">
      <w:pPr>
        <w:ind w:firstLine="567"/>
        <w:jc w:val="both"/>
      </w:pPr>
      <w:r>
        <w:t>- направление расходов "85130" изложить в новой редакции:</w:t>
      </w:r>
    </w:p>
    <w:p w:rsidR="00891490" w:rsidRPr="00996CAD" w:rsidRDefault="00891490" w:rsidP="00891490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490">
        <w:rPr>
          <w:rFonts w:ascii="Times New Roman" w:hAnsi="Times New Roman" w:cs="Times New Roman"/>
          <w:sz w:val="24"/>
          <w:szCs w:val="24"/>
        </w:rPr>
        <w:t>"85130</w:t>
      </w:r>
      <w:r w:rsidRPr="00996CAD">
        <w:rPr>
          <w:rFonts w:ascii="Times New Roman" w:hAnsi="Times New Roman" w:cs="Times New Roman"/>
          <w:sz w:val="24"/>
          <w:szCs w:val="24"/>
        </w:rPr>
        <w:t xml:space="preserve"> Расходы на реализацию Закона Липецкой области от 27 декабря 2007 года № 119-ОЗ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в сфере образования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 xml:space="preserve"> в части социальных выплат на питание обучающихся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996CAD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 w:rsidRPr="00996CAD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996CAD">
        <w:rPr>
          <w:rFonts w:ascii="Times New Roman" w:hAnsi="Times New Roman" w:cs="Times New Roman"/>
          <w:sz w:val="24"/>
          <w:szCs w:val="24"/>
        </w:rPr>
        <w:t>, имеющих государственную аккредитацию</w:t>
      </w:r>
    </w:p>
    <w:p w:rsidR="00891490" w:rsidRPr="00996CAD" w:rsidRDefault="00891490" w:rsidP="00891490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CAD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96CA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субвенция из</w:t>
      </w:r>
      <w:r w:rsidRPr="00996CAD">
        <w:rPr>
          <w:rFonts w:ascii="Times New Roman" w:hAnsi="Times New Roman" w:cs="Times New Roman"/>
          <w:sz w:val="24"/>
          <w:szCs w:val="24"/>
        </w:rPr>
        <w:t xml:space="preserve"> областного бюджета на реализацию Закона Липецкой области от 27 декабря 2007 года № 119-ОЗ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в сфере образования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735BF">
        <w:rPr>
          <w:rFonts w:ascii="Times New Roman" w:hAnsi="Times New Roman" w:cs="Times New Roman"/>
          <w:sz w:val="24"/>
          <w:szCs w:val="24"/>
        </w:rPr>
        <w:t xml:space="preserve"> в части социальных выплат на питание обучающимся в муниципальных общеобразовательных организациях, в частных общеобразовательных организациях, имеющих государственную аккредитацию.</w:t>
      </w:r>
      <w:proofErr w:type="gramEnd"/>
    </w:p>
    <w:p w:rsidR="00891490" w:rsidRDefault="00891490" w:rsidP="00891490">
      <w:pPr>
        <w:ind w:firstLine="708"/>
        <w:jc w:val="both"/>
      </w:pPr>
      <w:r w:rsidRPr="00996CAD">
        <w:t>Поступление субвенции на указанные цели отражается по соответствующим кодам вида доходов 000 2 02 30</w:t>
      </w:r>
      <w:r>
        <w:t>024 00 0000 150</w:t>
      </w:r>
      <w:r w:rsidRPr="00996CAD">
        <w:t xml:space="preserve"> </w:t>
      </w:r>
      <w:r>
        <w:t>"</w:t>
      </w:r>
      <w:r w:rsidRPr="00996CAD">
        <w:t>Субвенции местным бюджетам на выполнение передаваемых полномочий субъектов Российской Федерации</w:t>
      </w:r>
      <w:r>
        <w:t>"</w:t>
      </w:r>
      <w:r w:rsidRPr="00996CAD">
        <w:t xml:space="preserve"> классификации доходов бюджетов</w:t>
      </w:r>
      <w:proofErr w:type="gramStart"/>
      <w:r w:rsidRPr="00996CAD">
        <w:t>.</w:t>
      </w:r>
      <w:r>
        <w:t>";</w:t>
      </w:r>
      <w:proofErr w:type="gramEnd"/>
    </w:p>
    <w:p w:rsidR="0026033A" w:rsidRDefault="0026033A" w:rsidP="00891490">
      <w:pPr>
        <w:ind w:firstLine="708"/>
        <w:jc w:val="both"/>
      </w:pPr>
    </w:p>
    <w:p w:rsidR="00891490" w:rsidRDefault="00891490" w:rsidP="0026033A">
      <w:pPr>
        <w:ind w:firstLine="567"/>
        <w:jc w:val="both"/>
      </w:pPr>
      <w:r>
        <w:t>- направление расходов "85170" изложить в новой редакции:</w:t>
      </w:r>
    </w:p>
    <w:p w:rsidR="00891490" w:rsidRDefault="00891490" w:rsidP="00891490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 xml:space="preserve">85170 </w:t>
      </w:r>
      <w:r w:rsidRPr="00C95A22">
        <w:rPr>
          <w:rFonts w:ascii="Times New Roman" w:hAnsi="Times New Roman" w:cs="Times New Roman"/>
          <w:sz w:val="24"/>
          <w:szCs w:val="24"/>
        </w:rPr>
        <w:t xml:space="preserve">Расходы на реализацию Закона Липецкой области от 15 декабря 2015 года № 481-ОЗ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95A22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</w:t>
      </w:r>
      <w:r w:rsidRPr="00DD4163">
        <w:rPr>
          <w:rFonts w:ascii="Times New Roman" w:hAnsi="Times New Roman" w:cs="Times New Roman"/>
          <w:sz w:val="24"/>
          <w:szCs w:val="24"/>
        </w:rPr>
        <w:t>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</w:r>
    </w:p>
    <w:p w:rsidR="00891490" w:rsidRPr="00DD4163" w:rsidRDefault="00891490" w:rsidP="00891490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B90"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96CA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субвенция из </w:t>
      </w:r>
      <w:r w:rsidRPr="00916B90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DD4163">
        <w:rPr>
          <w:rFonts w:ascii="Times New Roman" w:hAnsi="Times New Roman" w:cs="Times New Roman"/>
          <w:sz w:val="24"/>
          <w:szCs w:val="24"/>
        </w:rPr>
        <w:t xml:space="preserve">бюджета на реализацию </w:t>
      </w:r>
      <w:hyperlink r:id="rId10" w:tooltip="Закон Липецкой области от 15.12.2015 N 481-ОЗ (ред. от 03.03.2020) &quot;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&quot; (принят " w:history="1">
        <w:r w:rsidRPr="00DD416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4163">
        <w:rPr>
          <w:rFonts w:ascii="Times New Roman" w:hAnsi="Times New Roman" w:cs="Times New Roman"/>
          <w:sz w:val="24"/>
          <w:szCs w:val="24"/>
        </w:rPr>
        <w:t xml:space="preserve"> Липецкой области от 15 декабря 2015 года N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4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90" w:rsidRDefault="00891490" w:rsidP="00891490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CAD">
        <w:rPr>
          <w:rFonts w:ascii="Times New Roman" w:hAnsi="Times New Roman" w:cs="Times New Roman"/>
          <w:sz w:val="24"/>
          <w:szCs w:val="24"/>
        </w:rPr>
        <w:t>Поступление субвенции на указанные цели отражается по соответствующим кодам вида доходов 000 2 02 30024 00 0000 15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>Субвенции местным бюджетам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</w:t>
      </w:r>
      <w:proofErr w:type="gramStart"/>
      <w:r w:rsidRPr="00996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26033A" w:rsidRDefault="0026033A" w:rsidP="00891490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033A" w:rsidRDefault="0026033A" w:rsidP="0026033A">
      <w:pPr>
        <w:ind w:firstLine="567"/>
        <w:jc w:val="both"/>
      </w:pPr>
      <w:r>
        <w:t>- направление расходов "85320" изложить в новой редакции:</w:t>
      </w:r>
    </w:p>
    <w:p w:rsidR="0026033A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>85320  Расходы на реализацию Закона Липецкой области от 27 декабря 2007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AD">
        <w:rPr>
          <w:rFonts w:ascii="Times New Roman" w:hAnsi="Times New Roman" w:cs="Times New Roman"/>
          <w:sz w:val="24"/>
          <w:szCs w:val="24"/>
        </w:rPr>
        <w:t xml:space="preserve">113-ОЗ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 xml:space="preserve"> в части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6CAD">
        <w:rPr>
          <w:rFonts w:ascii="Times New Roman" w:hAnsi="Times New Roman" w:cs="Times New Roman"/>
          <w:sz w:val="24"/>
          <w:szCs w:val="24"/>
        </w:rPr>
        <w:t xml:space="preserve"> единовременной выплаты детям-сиротам</w:t>
      </w:r>
      <w:r>
        <w:rPr>
          <w:rFonts w:ascii="Times New Roman" w:hAnsi="Times New Roman" w:cs="Times New Roman"/>
          <w:sz w:val="24"/>
          <w:szCs w:val="24"/>
        </w:rPr>
        <w:t xml:space="preserve"> и детям</w:t>
      </w:r>
      <w:r w:rsidRPr="00996CAD">
        <w:rPr>
          <w:rFonts w:ascii="Times New Roman" w:hAnsi="Times New Roman" w:cs="Times New Roman"/>
          <w:sz w:val="24"/>
          <w:szCs w:val="24"/>
        </w:rPr>
        <w:t>, оставшимся без попечения родителей, а также лицам из их числа на ремонт закрепленного жилого помещения</w:t>
      </w:r>
      <w:proofErr w:type="gramEnd"/>
    </w:p>
    <w:p w:rsidR="0026033A" w:rsidRDefault="0026033A" w:rsidP="0026033A">
      <w:pPr>
        <w:pStyle w:val="af0"/>
        <w:ind w:firstLine="720"/>
        <w:jc w:val="both"/>
      </w:pPr>
      <w:proofErr w:type="gramStart"/>
      <w:r w:rsidRPr="00844AB0">
        <w:rPr>
          <w:rFonts w:ascii="Times New Roman" w:hAnsi="Times New Roman" w:cs="Times New Roman"/>
          <w:sz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96CA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субвенция из</w:t>
      </w:r>
      <w:r w:rsidRPr="00844AB0">
        <w:rPr>
          <w:rFonts w:ascii="Times New Roman" w:hAnsi="Times New Roman" w:cs="Times New Roman"/>
          <w:sz w:val="24"/>
        </w:rPr>
        <w:t xml:space="preserve"> областного бюджета</w:t>
      </w:r>
      <w:r>
        <w:rPr>
          <w:rFonts w:ascii="Times New Roman" w:hAnsi="Times New Roman" w:cs="Times New Roman"/>
          <w:sz w:val="24"/>
        </w:rPr>
        <w:t xml:space="preserve"> </w:t>
      </w:r>
      <w:r w:rsidRPr="00844AB0">
        <w:rPr>
          <w:rFonts w:ascii="Times New Roman" w:hAnsi="Times New Roman" w:cs="Times New Roman"/>
          <w:sz w:val="24"/>
        </w:rPr>
        <w:t xml:space="preserve">на реализацию </w:t>
      </w:r>
      <w:hyperlink r:id="rId11" w:history="1">
        <w:r w:rsidRPr="00844AB0">
          <w:rPr>
            <w:rFonts w:ascii="Times New Roman" w:hAnsi="Times New Roman" w:cs="Times New Roman"/>
            <w:sz w:val="24"/>
          </w:rPr>
          <w:t>Закона</w:t>
        </w:r>
      </w:hyperlink>
      <w:r w:rsidRPr="00844AB0">
        <w:rPr>
          <w:rFonts w:ascii="Times New Roman" w:hAnsi="Times New Roman" w:cs="Times New Roman"/>
          <w:sz w:val="24"/>
        </w:rPr>
        <w:t xml:space="preserve"> Липецкой области от 27 декабря 2007 года </w:t>
      </w:r>
      <w:r>
        <w:rPr>
          <w:rFonts w:ascii="Times New Roman" w:hAnsi="Times New Roman" w:cs="Times New Roman"/>
          <w:sz w:val="24"/>
        </w:rPr>
        <w:t>№</w:t>
      </w:r>
      <w:r w:rsidRPr="00844AB0">
        <w:rPr>
          <w:rFonts w:ascii="Times New Roman" w:hAnsi="Times New Roman" w:cs="Times New Roman"/>
          <w:sz w:val="24"/>
        </w:rPr>
        <w:t xml:space="preserve"> 113-ОЗ </w:t>
      </w:r>
      <w:r>
        <w:rPr>
          <w:rFonts w:ascii="Times New Roman" w:hAnsi="Times New Roman" w:cs="Times New Roman"/>
          <w:sz w:val="24"/>
        </w:rPr>
        <w:t>"</w:t>
      </w:r>
      <w:r w:rsidRPr="00844AB0">
        <w:rPr>
          <w:rFonts w:ascii="Times New Roman" w:hAnsi="Times New Roman" w:cs="Times New Roman"/>
          <w:sz w:val="24"/>
        </w:rPr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r>
        <w:rPr>
          <w:rFonts w:ascii="Times New Roman" w:hAnsi="Times New Roman" w:cs="Times New Roman"/>
          <w:sz w:val="24"/>
        </w:rPr>
        <w:t>"</w:t>
      </w:r>
      <w:r w:rsidRPr="00844AB0">
        <w:rPr>
          <w:rFonts w:ascii="Times New Roman" w:hAnsi="Times New Roman" w:cs="Times New Roman"/>
          <w:sz w:val="24"/>
        </w:rPr>
        <w:t xml:space="preserve"> в части предоставления единовременной выплаты детям-сиротам и детям, оставшимся без попечения родителей, а также</w:t>
      </w:r>
      <w:proofErr w:type="gramEnd"/>
      <w:r w:rsidRPr="00844AB0">
        <w:rPr>
          <w:rFonts w:ascii="Times New Roman" w:hAnsi="Times New Roman" w:cs="Times New Roman"/>
          <w:sz w:val="24"/>
        </w:rPr>
        <w:t xml:space="preserve"> лицам из их числа на ремонт закрепленного жилого помещения</w:t>
      </w:r>
      <w:r>
        <w:t>.</w:t>
      </w:r>
    </w:p>
    <w:p w:rsidR="0026033A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CAD">
        <w:rPr>
          <w:rFonts w:ascii="Times New Roman" w:hAnsi="Times New Roman" w:cs="Times New Roman"/>
          <w:sz w:val="24"/>
          <w:szCs w:val="24"/>
        </w:rPr>
        <w:t>Поступление субвенции на указанные цели отражается по соответствующим кодам вида доходов 000 2 02 30024 00 0000 15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>Субвенции местным бюджетам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</w:t>
      </w:r>
      <w:proofErr w:type="gramStart"/>
      <w:r w:rsidRPr="00996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26033A" w:rsidRPr="00996CAD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1490" w:rsidRDefault="0026033A" w:rsidP="0026033A">
      <w:pPr>
        <w:ind w:firstLine="567"/>
        <w:jc w:val="both"/>
      </w:pPr>
      <w:r>
        <w:t>- направление расходов "85360" изложить в новой редакции:</w:t>
      </w:r>
    </w:p>
    <w:p w:rsidR="0026033A" w:rsidRPr="00387428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 xml:space="preserve">85360 </w:t>
      </w:r>
      <w:r w:rsidRPr="00CE421D">
        <w:rPr>
          <w:rFonts w:ascii="Times New Roman" w:hAnsi="Times New Roman" w:cs="Times New Roman"/>
          <w:sz w:val="24"/>
        </w:rPr>
        <w:t>Расходы на реализацию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ежемесячной социальной выплаты в связи с усыновлением (удочерением) ребенка-сироты или ребенка, оставшегося без попечения родителей</w:t>
      </w:r>
    </w:p>
    <w:p w:rsidR="0026033A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844AB0">
        <w:rPr>
          <w:rFonts w:ascii="Times New Roman" w:hAnsi="Times New Roman" w:cs="Times New Roman"/>
          <w:sz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96CA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субвенция из </w:t>
      </w:r>
      <w:r w:rsidRPr="00844AB0">
        <w:rPr>
          <w:rFonts w:ascii="Times New Roman" w:hAnsi="Times New Roman" w:cs="Times New Roman"/>
          <w:sz w:val="24"/>
        </w:rPr>
        <w:t xml:space="preserve">областного бюджета </w:t>
      </w:r>
      <w:r w:rsidRPr="00793FDF">
        <w:rPr>
          <w:rFonts w:ascii="Times New Roman" w:hAnsi="Times New Roman" w:cs="Times New Roman"/>
          <w:sz w:val="24"/>
        </w:rPr>
        <w:t xml:space="preserve">на реализацию </w:t>
      </w:r>
      <w:hyperlink r:id="rId12" w:history="1">
        <w:r w:rsidRPr="00793FDF">
          <w:rPr>
            <w:rFonts w:ascii="Times New Roman" w:hAnsi="Times New Roman" w:cs="Times New Roman"/>
            <w:sz w:val="24"/>
          </w:rPr>
          <w:t>Закона</w:t>
        </w:r>
      </w:hyperlink>
      <w:r w:rsidRPr="00793FDF">
        <w:rPr>
          <w:rFonts w:ascii="Times New Roman" w:hAnsi="Times New Roman" w:cs="Times New Roman"/>
          <w:sz w:val="24"/>
        </w:rPr>
        <w:t xml:space="preserve"> Липецкой</w:t>
      </w:r>
      <w:r w:rsidRPr="00844AB0">
        <w:rPr>
          <w:rFonts w:ascii="Times New Roman" w:hAnsi="Times New Roman" w:cs="Times New Roman"/>
          <w:sz w:val="24"/>
        </w:rPr>
        <w:t xml:space="preserve"> области от 27 декабря 2007 года </w:t>
      </w:r>
      <w:r>
        <w:rPr>
          <w:rFonts w:ascii="Times New Roman" w:hAnsi="Times New Roman" w:cs="Times New Roman"/>
          <w:sz w:val="24"/>
        </w:rPr>
        <w:t>№</w:t>
      </w:r>
      <w:r w:rsidRPr="00844AB0">
        <w:rPr>
          <w:rFonts w:ascii="Times New Roman" w:hAnsi="Times New Roman" w:cs="Times New Roman"/>
          <w:sz w:val="24"/>
        </w:rPr>
        <w:t xml:space="preserve"> 113-ОЗ </w:t>
      </w:r>
      <w:r>
        <w:rPr>
          <w:rFonts w:ascii="Times New Roman" w:hAnsi="Times New Roman" w:cs="Times New Roman"/>
          <w:sz w:val="24"/>
        </w:rPr>
        <w:t>"</w:t>
      </w:r>
      <w:r w:rsidRPr="00844AB0">
        <w:rPr>
          <w:rFonts w:ascii="Times New Roman" w:hAnsi="Times New Roman" w:cs="Times New Roman"/>
          <w:sz w:val="24"/>
        </w:rPr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r>
        <w:rPr>
          <w:rFonts w:ascii="Times New Roman" w:hAnsi="Times New Roman" w:cs="Times New Roman"/>
          <w:sz w:val="24"/>
        </w:rPr>
        <w:t>"</w:t>
      </w:r>
      <w:r w:rsidRPr="00844AB0">
        <w:rPr>
          <w:rFonts w:ascii="Times New Roman" w:hAnsi="Times New Roman" w:cs="Times New Roman"/>
          <w:sz w:val="24"/>
        </w:rPr>
        <w:t xml:space="preserve"> в части ежемесячной социальной выплаты в связи с усыновлением (удочерением) ребенка-сироты или ребенка, оставшегося</w:t>
      </w:r>
      <w:proofErr w:type="gramEnd"/>
      <w:r w:rsidRPr="00844AB0">
        <w:rPr>
          <w:rFonts w:ascii="Times New Roman" w:hAnsi="Times New Roman" w:cs="Times New Roman"/>
          <w:sz w:val="24"/>
        </w:rPr>
        <w:t xml:space="preserve"> без попечения родителей.</w:t>
      </w:r>
    </w:p>
    <w:p w:rsidR="0026033A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</w:rPr>
      </w:pPr>
      <w:r w:rsidRPr="00844AB0">
        <w:rPr>
          <w:rFonts w:ascii="Times New Roman" w:hAnsi="Times New Roman" w:cs="Times New Roman"/>
          <w:sz w:val="24"/>
        </w:rPr>
        <w:t xml:space="preserve">Поступление субвенции на указанные цели отражается по соответствующим кодам вида доходов 000 2 02 30024 00 0000 150 </w:t>
      </w:r>
      <w:r>
        <w:rPr>
          <w:rFonts w:ascii="Times New Roman" w:hAnsi="Times New Roman" w:cs="Times New Roman"/>
          <w:sz w:val="24"/>
        </w:rPr>
        <w:t>"</w:t>
      </w:r>
      <w:r w:rsidRPr="00844AB0">
        <w:rPr>
          <w:rFonts w:ascii="Times New Roman" w:hAnsi="Times New Roman" w:cs="Times New Roman"/>
          <w:sz w:val="24"/>
        </w:rPr>
        <w:t>Субвенции местным бюджетам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4"/>
        </w:rPr>
        <w:t>"</w:t>
      </w:r>
      <w:r w:rsidRPr="00844AB0">
        <w:rPr>
          <w:rFonts w:ascii="Times New Roman" w:hAnsi="Times New Roman" w:cs="Times New Roman"/>
          <w:sz w:val="24"/>
        </w:rPr>
        <w:t xml:space="preserve"> классификации доходов бюджетов</w:t>
      </w:r>
      <w:proofErr w:type="gramStart"/>
      <w:r w:rsidRPr="00844AB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";</w:t>
      </w:r>
      <w:proofErr w:type="gramEnd"/>
    </w:p>
    <w:p w:rsidR="0026033A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</w:rPr>
      </w:pPr>
    </w:p>
    <w:p w:rsidR="0026033A" w:rsidRPr="0026033A" w:rsidRDefault="0026033A" w:rsidP="0026033A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33A">
        <w:rPr>
          <w:rFonts w:ascii="Times New Roman" w:hAnsi="Times New Roman" w:cs="Times New Roman"/>
          <w:sz w:val="24"/>
          <w:szCs w:val="24"/>
        </w:rPr>
        <w:t>направление расходов " 86280" изложить в новой редакции:</w:t>
      </w:r>
    </w:p>
    <w:p w:rsidR="0026033A" w:rsidRPr="00553273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553273">
        <w:rPr>
          <w:rFonts w:ascii="Times New Roman" w:hAnsi="Times New Roman" w:cs="Times New Roman"/>
          <w:sz w:val="24"/>
          <w:szCs w:val="24"/>
        </w:rPr>
        <w:t>86280 Расходы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033A">
        <w:rPr>
          <w:rFonts w:ascii="Times New Roman" w:hAnsi="Times New Roman" w:cs="Times New Roman"/>
          <w:sz w:val="24"/>
          <w:szCs w:val="24"/>
        </w:rPr>
        <w:t>направленные</w:t>
      </w:r>
      <w:r w:rsidRPr="00553273">
        <w:rPr>
          <w:rFonts w:ascii="Times New Roman" w:hAnsi="Times New Roman" w:cs="Times New Roman"/>
          <w:sz w:val="24"/>
          <w:szCs w:val="24"/>
        </w:rPr>
        <w:t xml:space="preserve">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</w:r>
    </w:p>
    <w:p w:rsidR="0026033A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</w:rPr>
      </w:pPr>
      <w:r w:rsidRPr="0058370B">
        <w:rPr>
          <w:rFonts w:ascii="Times New Roman" w:hAnsi="Times New Roman" w:cs="Times New Roman"/>
          <w:sz w:val="24"/>
        </w:rPr>
        <w:lastRenderedPageBreak/>
        <w:t xml:space="preserve">По данному направлению расходов отражаются расходы </w:t>
      </w:r>
      <w:r w:rsidRPr="002B04F5">
        <w:rPr>
          <w:rFonts w:ascii="Times New Roman" w:hAnsi="Times New Roman" w:cs="Times New Roman"/>
          <w:sz w:val="24"/>
          <w:szCs w:val="24"/>
        </w:rPr>
        <w:t>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96CAD">
        <w:rPr>
          <w:rFonts w:ascii="Times New Roman" w:hAnsi="Times New Roman" w:cs="Times New Roman"/>
          <w:snapToGrid w:val="0"/>
          <w:sz w:val="24"/>
          <w:szCs w:val="24"/>
        </w:rPr>
        <w:t>порядке софинансирования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996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субсидии из </w:t>
      </w:r>
      <w:r w:rsidRPr="0058370B">
        <w:rPr>
          <w:rFonts w:ascii="Times New Roman" w:hAnsi="Times New Roman" w:cs="Times New Roman"/>
          <w:sz w:val="24"/>
        </w:rPr>
        <w:t xml:space="preserve">областного бюджета, связанных с подготовкой </w:t>
      </w:r>
      <w:proofErr w:type="gramStart"/>
      <w:r w:rsidRPr="0058370B">
        <w:rPr>
          <w:rFonts w:ascii="Times New Roman" w:hAnsi="Times New Roman" w:cs="Times New Roman"/>
          <w:sz w:val="24"/>
        </w:rPr>
        <w:t>кадров работников учреждений культуры муниципальных образований</w:t>
      </w:r>
      <w:proofErr w:type="gramEnd"/>
      <w:r w:rsidRPr="0058370B">
        <w:rPr>
          <w:rFonts w:ascii="Times New Roman" w:hAnsi="Times New Roman" w:cs="Times New Roman"/>
          <w:sz w:val="24"/>
        </w:rPr>
        <w:t xml:space="preserve"> в рамках регионального проекта </w:t>
      </w:r>
      <w:r>
        <w:rPr>
          <w:rFonts w:ascii="Times New Roman" w:hAnsi="Times New Roman" w:cs="Times New Roman"/>
          <w:sz w:val="24"/>
        </w:rPr>
        <w:t>"</w:t>
      </w:r>
      <w:r w:rsidRPr="0058370B">
        <w:rPr>
          <w:rFonts w:ascii="Times New Roman" w:hAnsi="Times New Roman" w:cs="Times New Roman"/>
          <w:sz w:val="24"/>
        </w:rPr>
        <w:t>Творческие люди</w:t>
      </w:r>
      <w:r>
        <w:rPr>
          <w:rFonts w:ascii="Times New Roman" w:hAnsi="Times New Roman" w:cs="Times New Roman"/>
          <w:sz w:val="24"/>
        </w:rPr>
        <w:t>".</w:t>
      </w:r>
    </w:p>
    <w:p w:rsidR="0026033A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CAD">
        <w:rPr>
          <w:rFonts w:ascii="Times New Roman" w:hAnsi="Times New Roman" w:cs="Times New Roman"/>
          <w:sz w:val="24"/>
          <w:szCs w:val="24"/>
        </w:rPr>
        <w:t>Поступление субсидий на указанные цели отражается по соответствующим кодам вида доходов 000 2 02 29999 00 0000 15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>Прочие субсидии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</w:t>
      </w:r>
      <w:proofErr w:type="gramStart"/>
      <w:r w:rsidRPr="00996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26033A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033A" w:rsidRDefault="0026033A" w:rsidP="0026033A">
      <w:pPr>
        <w:ind w:firstLine="567"/>
        <w:jc w:val="both"/>
      </w:pPr>
      <w:r>
        <w:t>- направление расходов "</w:t>
      </w:r>
      <w:r w:rsidRPr="0026033A">
        <w:t xml:space="preserve"> </w:t>
      </w:r>
      <w:r>
        <w:rPr>
          <w:lang w:val="en-US"/>
        </w:rPr>
        <w:t>S</w:t>
      </w:r>
      <w:r>
        <w:t>6330" изложить в новой редакции:</w:t>
      </w:r>
    </w:p>
    <w:p w:rsidR="0026033A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606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06B4">
        <w:rPr>
          <w:rFonts w:ascii="Times New Roman" w:hAnsi="Times New Roman" w:cs="Times New Roman"/>
          <w:sz w:val="24"/>
          <w:szCs w:val="24"/>
        </w:rPr>
        <w:t>6330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06B4">
        <w:rPr>
          <w:rFonts w:ascii="Times New Roman" w:hAnsi="Times New Roman" w:cs="Times New Roman"/>
          <w:sz w:val="24"/>
          <w:szCs w:val="24"/>
        </w:rPr>
        <w:t xml:space="preserve"> направленные на организацию библиотечного обслуживания населения в части комплектования книжных фондов библиотек Грязинского муниципального района</w:t>
      </w:r>
    </w:p>
    <w:p w:rsidR="0026033A" w:rsidRPr="00735C93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 w:rsidRPr="002B04F5">
        <w:rPr>
          <w:rFonts w:ascii="Times New Roman" w:hAnsi="Times New Roman" w:cs="Times New Roman"/>
          <w:sz w:val="24"/>
          <w:szCs w:val="24"/>
        </w:rPr>
        <w:t>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96CAD">
        <w:rPr>
          <w:rFonts w:ascii="Times New Roman" w:hAnsi="Times New Roman" w:cs="Times New Roman"/>
          <w:snapToGrid w:val="0"/>
          <w:sz w:val="24"/>
          <w:szCs w:val="24"/>
        </w:rPr>
        <w:t>порядке софинансирования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996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субсидии из </w:t>
      </w:r>
      <w:r w:rsidRPr="00735C93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735C93">
        <w:rPr>
          <w:rFonts w:ascii="Times New Roman" w:hAnsi="Times New Roman" w:cs="Times New Roman"/>
          <w:sz w:val="28"/>
          <w:szCs w:val="24"/>
        </w:rPr>
        <w:t xml:space="preserve">, </w:t>
      </w:r>
      <w:r w:rsidRPr="00735C93">
        <w:rPr>
          <w:rFonts w:ascii="Times New Roman" w:hAnsi="Times New Roman" w:cs="Times New Roman"/>
          <w:sz w:val="24"/>
        </w:rPr>
        <w:t>направленные на организацию библиотечного обслуживания населения в части комплектования книжных фондов библиотек муниципальных районов.</w:t>
      </w:r>
    </w:p>
    <w:p w:rsidR="0026033A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</w:rPr>
      </w:pPr>
      <w:r w:rsidRPr="00735C93">
        <w:rPr>
          <w:rFonts w:ascii="Times New Roman" w:hAnsi="Times New Roman" w:cs="Times New Roman"/>
          <w:sz w:val="24"/>
        </w:rPr>
        <w:t>Поступление субсидий в местные бюджеты на указанные цели отражается по соответствующим кодам вида доходов 000 2 02 29999 0000 150 "Прочие субсидии" классификации доходов бюджетов</w:t>
      </w:r>
      <w:proofErr w:type="gramStart"/>
      <w:r w:rsidRPr="00735C9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";</w:t>
      </w:r>
      <w:proofErr w:type="gramEnd"/>
    </w:p>
    <w:p w:rsidR="0026033A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</w:rPr>
      </w:pPr>
    </w:p>
    <w:p w:rsidR="0026033A" w:rsidRDefault="0026033A" w:rsidP="0026033A">
      <w:pPr>
        <w:ind w:firstLine="567"/>
        <w:jc w:val="both"/>
      </w:pPr>
      <w:r>
        <w:t>- направление расходов "</w:t>
      </w:r>
      <w:r w:rsidRPr="0026033A">
        <w:t xml:space="preserve"> </w:t>
      </w:r>
      <w:r>
        <w:rPr>
          <w:lang w:val="en-US"/>
        </w:rPr>
        <w:t>S</w:t>
      </w:r>
      <w:r>
        <w:t>6560" изложить в новой редакции:</w:t>
      </w:r>
    </w:p>
    <w:p w:rsidR="0026033A" w:rsidRPr="00E12BE0" w:rsidRDefault="0026033A" w:rsidP="0026033A">
      <w:pPr>
        <w:pStyle w:val="af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6560 </w:t>
      </w:r>
      <w:r w:rsidRPr="00E12BE0">
        <w:rPr>
          <w:rFonts w:ascii="Times New Roman" w:hAnsi="Times New Roman" w:cs="Times New Roman"/>
          <w:sz w:val="24"/>
          <w:szCs w:val="24"/>
        </w:rPr>
        <w:t xml:space="preserve">Расходы, направленные на приобретение автотранспорта для подвоза детей в общеобразовательные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26033A" w:rsidRPr="000A5186" w:rsidRDefault="0026033A" w:rsidP="0026033A">
      <w:pPr>
        <w:autoSpaceDE w:val="0"/>
        <w:autoSpaceDN w:val="0"/>
        <w:adjustRightInd w:val="0"/>
        <w:ind w:firstLine="709"/>
        <w:jc w:val="both"/>
      </w:pPr>
      <w:r>
        <w:t>По данному направлению расходов отражаются расходы районного бюджета</w:t>
      </w:r>
      <w:r w:rsidRPr="0065154F">
        <w:t xml:space="preserve"> </w:t>
      </w:r>
      <w:r>
        <w:t xml:space="preserve">в </w:t>
      </w:r>
      <w:r w:rsidRPr="00996CAD">
        <w:rPr>
          <w:snapToGrid w:val="0"/>
        </w:rPr>
        <w:t>порядке софинансирования</w:t>
      </w:r>
      <w:r>
        <w:rPr>
          <w:snapToGrid w:val="0"/>
        </w:rPr>
        <w:t>,</w:t>
      </w:r>
      <w:r w:rsidRPr="00996CAD">
        <w:rPr>
          <w:snapToGrid w:val="0"/>
        </w:rPr>
        <w:t xml:space="preserve"> </w:t>
      </w:r>
      <w:r w:rsidRPr="0017014E">
        <w:t>источником финансового обеспечения которых</w:t>
      </w:r>
      <w:r>
        <w:t xml:space="preserve"> является субсидии из областного бюджета, </w:t>
      </w:r>
      <w:r w:rsidRPr="000A5186">
        <w:t>направленные на приобретение автотранспорта для подвоза детей в общеобразовательные организации.</w:t>
      </w:r>
    </w:p>
    <w:p w:rsidR="0026033A" w:rsidRDefault="0026033A" w:rsidP="0026033A">
      <w:pPr>
        <w:ind w:firstLine="567"/>
        <w:jc w:val="both"/>
      </w:pPr>
      <w:r w:rsidRPr="000A5186">
        <w:t>Поступление субсидий на указанные цели отражается по соответствующим кодам вида доходов 000 2 02 29999 00 0000 150 "Прочие субсидии" классификации доходов бюджетов</w:t>
      </w:r>
      <w:proofErr w:type="gramStart"/>
      <w:r w:rsidRPr="000A5186">
        <w:t>.</w:t>
      </w:r>
      <w:r>
        <w:t>";</w:t>
      </w:r>
      <w:proofErr w:type="gramEnd"/>
    </w:p>
    <w:p w:rsidR="00B77C75" w:rsidRDefault="00B77C75" w:rsidP="0026033A">
      <w:pPr>
        <w:ind w:firstLine="567"/>
        <w:jc w:val="both"/>
      </w:pPr>
    </w:p>
    <w:p w:rsidR="00B77C75" w:rsidRDefault="00B77C75" w:rsidP="0026033A">
      <w:pPr>
        <w:ind w:firstLine="567"/>
        <w:jc w:val="both"/>
      </w:pPr>
      <w:r>
        <w:t>- добавить новым направлением расходов:</w:t>
      </w:r>
    </w:p>
    <w:p w:rsidR="00B77C75" w:rsidRPr="00B77C75" w:rsidRDefault="00B77C75" w:rsidP="0026033A">
      <w:pPr>
        <w:ind w:firstLine="567"/>
        <w:jc w:val="both"/>
      </w:pPr>
      <w:proofErr w:type="gramStart"/>
      <w:r w:rsidRPr="00B77C75">
        <w:t>"5879</w:t>
      </w:r>
      <w:r w:rsidRPr="00B77C75">
        <w:rPr>
          <w:lang w:val="en-US"/>
        </w:rPr>
        <w:t>F</w:t>
      </w:r>
      <w:r w:rsidRPr="00B77C75">
        <w:t xml:space="preserve">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</w:t>
      </w:r>
      <w:proofErr w:type="gramEnd"/>
      <w:r w:rsidRPr="00B77C75">
        <w:t>, имеющих детей, за счет средств резервного фонда Правительства Российской Федерации</w:t>
      </w:r>
    </w:p>
    <w:p w:rsidR="0026033A" w:rsidRPr="00B77C75" w:rsidRDefault="00B77C75" w:rsidP="0026033A">
      <w:pPr>
        <w:ind w:firstLine="567"/>
        <w:jc w:val="both"/>
      </w:pPr>
      <w:proofErr w:type="gramStart"/>
      <w:r w:rsidRPr="00B77C75">
        <w:t>По данному направлению расходов отражаются расходы районного бюджета, источником финансового обеспечения которых является межбюджетные трансферты из федерального фонда Правительства Российской Федерации,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</w:t>
      </w:r>
      <w:proofErr w:type="gramEnd"/>
      <w:r w:rsidRPr="00B77C75">
        <w:t xml:space="preserve"> </w:t>
      </w:r>
      <w:proofErr w:type="gramStart"/>
      <w:r w:rsidRPr="00B77C75">
        <w:t>числе</w:t>
      </w:r>
      <w:proofErr w:type="gramEnd"/>
      <w:r w:rsidRPr="00B77C75">
        <w:t xml:space="preserve"> записей актов о рождении детей в возрасте от 3 до 18 лет в целях обеспечения дополнительных мер социальной поддержки семей, имеющих детей.</w:t>
      </w:r>
      <w:r>
        <w:t>"</w:t>
      </w:r>
    </w:p>
    <w:p w:rsidR="00B77C75" w:rsidRDefault="00B77C75" w:rsidP="0026033A">
      <w:pPr>
        <w:ind w:firstLine="567"/>
        <w:jc w:val="both"/>
        <w:rPr>
          <w:rFonts w:eastAsiaTheme="minorHAnsi"/>
          <w:lang w:eastAsia="en-US"/>
        </w:rPr>
      </w:pPr>
    </w:p>
    <w:p w:rsidR="00965401" w:rsidRPr="002B1F53" w:rsidRDefault="00844FC0" w:rsidP="005C1A9D">
      <w:pPr>
        <w:ind w:firstLine="708"/>
        <w:jc w:val="both"/>
      </w:pPr>
      <w:r>
        <w:t>2</w:t>
      </w:r>
      <w:r w:rsidR="00965401">
        <w:t xml:space="preserve">) Раздел </w:t>
      </w:r>
      <w:r w:rsidR="00965401" w:rsidRPr="00965401">
        <w:rPr>
          <w:lang w:val="en-US"/>
        </w:rPr>
        <w:t>V</w:t>
      </w:r>
      <w:r w:rsidR="00965401" w:rsidRPr="00965401">
        <w:t xml:space="preserve">. </w:t>
      </w:r>
      <w:r w:rsidR="00965401">
        <w:t>"</w:t>
      </w:r>
      <w:r w:rsidR="00965401" w:rsidRPr="00965401">
        <w:t>Перечень кодов целевых статей районного бюджета</w:t>
      </w:r>
      <w:r w:rsidR="00965401">
        <w:t>" изложить в новой редакции:</w:t>
      </w:r>
    </w:p>
    <w:p w:rsidR="003C1A78" w:rsidRPr="002B1F53" w:rsidRDefault="003C1A78" w:rsidP="005C1A9D">
      <w:pPr>
        <w:ind w:firstLine="708"/>
        <w:jc w:val="both"/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469"/>
      </w:tblGrid>
      <w:tr w:rsidR="00965401" w:rsidRPr="00A70D5E" w:rsidTr="0003692E">
        <w:tc>
          <w:tcPr>
            <w:tcW w:w="2376" w:type="dxa"/>
            <w:gridSpan w:val="4"/>
            <w:vAlign w:val="center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469" w:type="dxa"/>
            <w:vAlign w:val="center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</w:t>
            </w:r>
            <w:r w:rsidR="0089149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D94CBA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управлением финансов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80050</w:t>
            </w:r>
          </w:p>
        </w:tc>
        <w:tc>
          <w:tcPr>
            <w:tcW w:w="7469" w:type="dxa"/>
          </w:tcPr>
          <w:p w:rsidR="00965401" w:rsidRPr="00FA7511" w:rsidRDefault="00FA751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A17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</w:t>
            </w:r>
            <w:r w:rsidR="00A1752F">
              <w:rPr>
                <w:sz w:val="20"/>
                <w:szCs w:val="20"/>
              </w:rPr>
              <w:t>8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A1752F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1752F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основного мероприятия "Достижение наилучших значений показателей качества и платежеспособности муниципального района"</w:t>
            </w:r>
          </w:p>
        </w:tc>
      </w:tr>
      <w:tr w:rsidR="00965401" w:rsidRPr="00933ADC" w:rsidTr="0003692E">
        <w:tc>
          <w:tcPr>
            <w:tcW w:w="517" w:type="dxa"/>
          </w:tcPr>
          <w:p w:rsidR="00965401" w:rsidRPr="00933ADC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933ADC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933ADC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933ADC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933ADC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>Управление муниципальным долгом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rPr>
          <w:trHeight w:val="550"/>
        </w:trPr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долговой политики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25300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 w:rsidR="00D5468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 w:rsidR="00844F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оборудования,  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 w:rsidR="00844F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муниципальным бюджетным и автономным учреждениям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746F98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746F98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Региональные проект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>Спорт - норма жизни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746F98" w:rsidTr="0003692E">
        <w:tc>
          <w:tcPr>
            <w:tcW w:w="517" w:type="dxa"/>
          </w:tcPr>
          <w:p w:rsidR="00965401" w:rsidRPr="00746F98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746F98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746F98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  <w:lang w:val="en-US"/>
              </w:rPr>
              <w:t>P</w:t>
            </w:r>
            <w:r w:rsidRPr="00746F98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965401" w:rsidRPr="00746F98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52281</w:t>
            </w:r>
          </w:p>
        </w:tc>
        <w:tc>
          <w:tcPr>
            <w:tcW w:w="7469" w:type="dxa"/>
          </w:tcPr>
          <w:p w:rsidR="00965401" w:rsidRPr="00746F98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Расходы на оснащение объектов спортивной инфраструктуры спортивн</w:t>
            </w:r>
            <w:proofErr w:type="gramStart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о-</w:t>
            </w:r>
            <w:proofErr w:type="gramEnd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 спортивным комплексом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(ГТО))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Приобретение литературы (комплектование книжного фонда), подключение библиотек к сети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нтернет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S63</w:t>
            </w:r>
            <w:r>
              <w:rPr>
                <w:sz w:val="20"/>
                <w:szCs w:val="20"/>
              </w:rPr>
              <w:t>3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37267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 w:rsidR="00844F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726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библиотечного обслуживания населения в части комплектования книжных фондов библиотек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Переоснащение учреждений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сценическим и компьютерным оборудованием, приобретение одежды сцены, мебели, сценических костюмов, музыкальных инструментов, создание модульных библиотек, приобретение оргтехники для развития туристско-информационных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МБУК 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музыкальных инструментов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406B96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ДК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Чайка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оборудованием для осуществления кинопоказа </w:t>
            </w:r>
            <w:proofErr w:type="gram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тифлокомментированием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направленные на оснащение кинотеатров необходимым оборудованием для осуществления кинопоказов </w:t>
            </w:r>
            <w:proofErr w:type="gram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тифлокомментированием</w:t>
            </w:r>
            <w:proofErr w:type="spellEnd"/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"Р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автономного и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бюджетн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учреждения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сценическим и компьютерным оборудованием. Приобретение одежды сцены, мебели, спортивных тренажеров и оборудования, кино-видеооборудования, оборудование для кухни кафе, сантехнического оборудования, бытовой техники, оборудования для библиотеки и музея,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подъёмника для инвалидов,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металлодетекторов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арочных, кресел для зрительного зала. Приобретение транспортных средств и их комплектующих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</w:t>
            </w:r>
            <w:proofErr w:type="gramStart"/>
            <w:r w:rsidRPr="00406B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406B96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</w:t>
            </w:r>
            <w:proofErr w:type="gramStart"/>
            <w:r w:rsidRPr="00406B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469" w:type="dxa"/>
          </w:tcPr>
          <w:p w:rsidR="00965401" w:rsidRPr="00844FC0" w:rsidRDefault="00844FC0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C0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B06ADC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социально ориентированных неком</w:t>
            </w:r>
            <w:r w:rsidR="00B06AD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ерческих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A66E0B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965401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65401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4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малого и среднего предпринимательства  и малых форм хозяйствования Грязинского муниципального района Липецкой области на 2020-2024 годы</w:t>
            </w:r>
            <w:r w:rsidR="0096540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333E6F" w:rsidRDefault="00333E6F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CF0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S6610</w:t>
            </w:r>
          </w:p>
        </w:tc>
        <w:tc>
          <w:tcPr>
            <w:tcW w:w="7469" w:type="dxa"/>
          </w:tcPr>
          <w:p w:rsidR="00965401" w:rsidRPr="00E15CF0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S6050</w:t>
            </w:r>
          </w:p>
        </w:tc>
        <w:tc>
          <w:tcPr>
            <w:tcW w:w="7469" w:type="dxa"/>
          </w:tcPr>
          <w:p w:rsidR="00965401" w:rsidRPr="00E15CF0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Субсидии, направленные на развитие сельскохозяйственного производства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A66E0B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965401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65401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4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 w:rsidR="0096540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06211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субсидий, направленных  на создание условий для обеспечения услугами торговли и бытового обслуживания поселений, входящих в состав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proofErr w:type="gramEnd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60120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понесенных перевозчиками расходов в связи с осуществлением социально-значимых перевозок пассажиров автомобильным пассажирским транспортом общего пользования во внутри муниципальном  сообщении по регулируемым тарифам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 w:rsidRPr="00A70D5E">
              <w:rPr>
                <w:sz w:val="20"/>
                <w:szCs w:val="20"/>
              </w:rPr>
              <w:t>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приобретение подвижного состава для осуществления  перевозок пассажиров автомобильным и городским наземным электрическим транспортом по муниципальным маршрутам регулярных перевозок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469" w:type="dxa"/>
          </w:tcPr>
          <w:p w:rsidR="00965401" w:rsidRPr="0026033A" w:rsidRDefault="0026033A" w:rsidP="00793AED">
            <w:pPr>
              <w:pStyle w:val="af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6033A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в Грязинском муниципальном районе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муниципальной службы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Создание условий для обеспечения населения информацией о деятельности органов муниципальной власти и социально-экономического развития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469" w:type="dxa"/>
          </w:tcPr>
          <w:p w:rsidR="00965401" w:rsidRPr="00844FC0" w:rsidRDefault="00844FC0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C0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469" w:type="dxa"/>
          </w:tcPr>
          <w:p w:rsidR="00965401" w:rsidRPr="00A70D5E" w:rsidRDefault="00965401" w:rsidP="004B42C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декабря 2004 года № 167-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декабря 2009 года №349-ОЗ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пенсионное обеспечение муниципальных 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F479A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44FC0" w:rsidRPr="00A70D5E" w:rsidTr="0003692E">
        <w:tc>
          <w:tcPr>
            <w:tcW w:w="517" w:type="dxa"/>
          </w:tcPr>
          <w:p w:rsidR="00844FC0" w:rsidRPr="00A70D5E" w:rsidRDefault="00844FC0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44FC0" w:rsidRPr="00A70D5E" w:rsidRDefault="00844FC0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44FC0" w:rsidRPr="00A70D5E" w:rsidRDefault="00844FC0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44FC0" w:rsidRPr="00CF479A" w:rsidRDefault="00844FC0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69" w:type="dxa"/>
          </w:tcPr>
          <w:p w:rsidR="00844FC0" w:rsidRPr="00A70D5E" w:rsidRDefault="00844FC0" w:rsidP="00844FC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аконом от 12 января 1995 года №5-ФЗ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F479A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80050</w:t>
            </w:r>
          </w:p>
        </w:tc>
        <w:tc>
          <w:tcPr>
            <w:tcW w:w="7469" w:type="dxa"/>
          </w:tcPr>
          <w:p w:rsidR="00965401" w:rsidRPr="00FA7511" w:rsidRDefault="00FA751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целях гражданской обороны запасов материально-технических, продовольственных и медицинских средств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целях гражданской обороны запасов материально-технических, продовольственных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идеологии терроризма и экстремизма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Противодействие идеологии терроризма 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учений и тренировок на предприятиях и учреждениях района по действиям персонала при чрезвычайных ситуациях,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вызванных террористическим актом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28038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Энергосбережение и повышение энергетической эффективности администрации Грязинского муниципального района на 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3C4C41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3C4C41" w:rsidRDefault="00965401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4C41">
              <w:rPr>
                <w:rFonts w:ascii="Times New Roman" w:hAnsi="Times New Roman" w:cs="Times New Roman"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6010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направленные на осуществление капитального ремонта и бюджетные инвестиции в объекты муниципальной собственности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изменение схемы территориального планирования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Разработка и изменение схемы территориального планирования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965401" w:rsidRPr="00A70D5E" w:rsidRDefault="00965401" w:rsidP="00573E56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</w:t>
            </w:r>
            <w:r w:rsidRPr="003C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и потребления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6380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  <w:r>
              <w:rPr>
                <w:rFonts w:eastAsia="Arial Unicode MS"/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сходов основного мероприятия  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>Разработка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86760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 на создание новых мест в общеобразовательных организациях без условий софинансирования с федеральным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06  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населенных пунктов и 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177">
              <w:rPr>
                <w:sz w:val="20"/>
                <w:szCs w:val="20"/>
                <w:lang w:val="en-US"/>
              </w:rPr>
              <w:t>S6040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с областным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Технический контроль качества, экспертиза качества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осуществляемых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дорожной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Технический контроль качества, экспертиза качества осуществляемых в дорожной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работ по содержанию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схем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схем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531143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531143" w:rsidRDefault="00965401" w:rsidP="00036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</w:t>
            </w:r>
            <w:r w:rsidR="0003692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(расходы, направленные на развитие газификации на сельских территориях)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531143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S6780</w:t>
            </w:r>
          </w:p>
        </w:tc>
        <w:tc>
          <w:tcPr>
            <w:tcW w:w="7469" w:type="dxa"/>
          </w:tcPr>
          <w:p w:rsidR="00965401" w:rsidRPr="00531143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развитие газификации на сельских территориях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8538FB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469" w:type="dxa"/>
          </w:tcPr>
          <w:p w:rsidR="00965401" w:rsidRPr="00844FC0" w:rsidRDefault="00844FC0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C0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11 декабря 2013 года №217-ОЗ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rPr>
          <w:trHeight w:val="569"/>
        </w:trPr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469" w:type="dxa"/>
          </w:tcPr>
          <w:p w:rsidR="00965401" w:rsidRPr="00844FC0" w:rsidRDefault="00844FC0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C0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</w:t>
            </w:r>
            <w:proofErr w:type="gramEnd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формой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  компенсации затрат  родителей (законных представителей)  детей-инвалидов на организацию  обучения по основным общеобразовательным программам на дому</w:t>
            </w:r>
          </w:p>
        </w:tc>
      </w:tr>
      <w:tr w:rsidR="00844FC0" w:rsidRPr="00A70D5E" w:rsidTr="0003692E">
        <w:tc>
          <w:tcPr>
            <w:tcW w:w="517" w:type="dxa"/>
          </w:tcPr>
          <w:p w:rsidR="00844FC0" w:rsidRPr="00C96E6B" w:rsidRDefault="00844FC0" w:rsidP="00073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E6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44FC0" w:rsidRPr="00C96E6B" w:rsidRDefault="00844FC0" w:rsidP="00073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E6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44FC0" w:rsidRPr="00C96E6B" w:rsidRDefault="00844FC0" w:rsidP="00073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E6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44FC0" w:rsidRPr="00C96E6B" w:rsidRDefault="00844FC0" w:rsidP="00073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E6B">
              <w:rPr>
                <w:sz w:val="20"/>
                <w:szCs w:val="20"/>
                <w:lang w:val="en-US"/>
              </w:rPr>
              <w:t>S</w:t>
            </w:r>
            <w:r w:rsidRPr="00C96E6B">
              <w:rPr>
                <w:sz w:val="20"/>
                <w:szCs w:val="20"/>
              </w:rPr>
              <w:t>6560</w:t>
            </w:r>
          </w:p>
        </w:tc>
        <w:tc>
          <w:tcPr>
            <w:tcW w:w="7469" w:type="dxa"/>
          </w:tcPr>
          <w:p w:rsidR="00844FC0" w:rsidRPr="00844FC0" w:rsidRDefault="00844FC0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C0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2F238F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в общеобразовательных </w:t>
            </w:r>
            <w:r w:rsidR="002F238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организациях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 и платежеспособности 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86590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из областного бюджета на реализацию мероприятий муниципальных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534D" w:rsidRPr="0050534D" w:rsidTr="001966F9">
        <w:trPr>
          <w:trHeight w:val="569"/>
        </w:trPr>
        <w:tc>
          <w:tcPr>
            <w:tcW w:w="517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50534D" w:rsidRPr="0050534D" w:rsidRDefault="0050534D" w:rsidP="001966F9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34D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50534D" w:rsidRPr="00A70D5E" w:rsidTr="001966F9">
        <w:trPr>
          <w:trHeight w:val="569"/>
        </w:trPr>
        <w:tc>
          <w:tcPr>
            <w:tcW w:w="517" w:type="dxa"/>
          </w:tcPr>
          <w:p w:rsidR="0050534D" w:rsidRPr="00A70D5E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534D" w:rsidRPr="00621EB1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534D" w:rsidRPr="00A70D5E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50534D" w:rsidRPr="00A70D5E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53031</w:t>
            </w:r>
          </w:p>
        </w:tc>
        <w:tc>
          <w:tcPr>
            <w:tcW w:w="7469" w:type="dxa"/>
          </w:tcPr>
          <w:p w:rsidR="0050534D" w:rsidRPr="0050534D" w:rsidRDefault="0050534D" w:rsidP="001966F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4D">
              <w:rPr>
                <w:rFonts w:ascii="Times New Roman" w:hAnsi="Times New Roman" w:cs="Times New Roman"/>
                <w:sz w:val="20"/>
              </w:rPr>
              <w:t xml:space="preserve">Расходы на реализацию основного мероприятия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</w:t>
            </w:r>
            <w:r w:rsidRPr="0050534D">
              <w:rPr>
                <w:rFonts w:ascii="Times New Roman" w:hAnsi="Times New Roman" w:cs="Times New Roman"/>
                <w:sz w:val="20"/>
              </w:rPr>
              <w:lastRenderedPageBreak/>
              <w:t>программы"</w:t>
            </w:r>
          </w:p>
        </w:tc>
      </w:tr>
      <w:tr w:rsidR="0050534D" w:rsidRPr="0050534D" w:rsidTr="001966F9">
        <w:trPr>
          <w:trHeight w:val="569"/>
        </w:trPr>
        <w:tc>
          <w:tcPr>
            <w:tcW w:w="517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50534D" w:rsidRPr="0050534D" w:rsidRDefault="0050534D" w:rsidP="001966F9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50534D" w:rsidRPr="00A70D5E" w:rsidTr="001966F9">
        <w:trPr>
          <w:trHeight w:val="569"/>
        </w:trPr>
        <w:tc>
          <w:tcPr>
            <w:tcW w:w="517" w:type="dxa"/>
          </w:tcPr>
          <w:p w:rsid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3040</w:t>
            </w:r>
          </w:p>
        </w:tc>
        <w:tc>
          <w:tcPr>
            <w:tcW w:w="7469" w:type="dxa"/>
          </w:tcPr>
          <w:p w:rsidR="0050534D" w:rsidRPr="0050534D" w:rsidRDefault="0050534D" w:rsidP="001966F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793AED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469" w:type="dxa"/>
          </w:tcPr>
          <w:p w:rsidR="00965401" w:rsidRPr="00844FC0" w:rsidRDefault="00844FC0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C0">
              <w:rPr>
                <w:rFonts w:ascii="Times New Roman" w:hAnsi="Times New Roman" w:cs="Times New Roman"/>
                <w:sz w:val="20"/>
              </w:rPr>
              <w:t>Расходы на реализацию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ежемесячной социальной выплаты в связи с усыновлением (удочерением) ребенка-сироты или ребенка, оставшегося без попечения родителей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</w:t>
            </w:r>
          </w:p>
        </w:tc>
        <w:tc>
          <w:tcPr>
            <w:tcW w:w="7469" w:type="dxa"/>
          </w:tcPr>
          <w:p w:rsidR="00965401" w:rsidRPr="008B1C02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 выплаты детям, оставшимся без попечения родителей, и лицам из их числа, оба родителя которых неизвестны</w:t>
            </w:r>
          </w:p>
        </w:tc>
      </w:tr>
      <w:tr w:rsidR="00965401" w:rsidRPr="00A70D5E" w:rsidTr="0003692E">
        <w:trPr>
          <w:trHeight w:val="275"/>
        </w:trPr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469" w:type="dxa"/>
          </w:tcPr>
          <w:p w:rsidR="00965401" w:rsidRPr="0026033A" w:rsidRDefault="0026033A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3A">
              <w:rPr>
                <w:rFonts w:ascii="Times New Roman" w:hAnsi="Times New Roman" w:cs="Times New Roman"/>
                <w:sz w:val="20"/>
                <w:szCs w:val="24"/>
              </w:rPr>
              <w:t>85320  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86340</w:t>
            </w:r>
          </w:p>
        </w:tc>
        <w:tc>
          <w:tcPr>
            <w:tcW w:w="7469" w:type="dxa"/>
          </w:tcPr>
          <w:p w:rsidR="00965401" w:rsidRPr="008B1C02" w:rsidRDefault="00965401" w:rsidP="00ED6D1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00015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Гранты общественным некоммерческим организациям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00016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судебных расходов по исполнительным листам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 по осуществлению внеш</w:t>
            </w:r>
            <w:r w:rsidR="000369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965401" w:rsidRPr="00A70D5E" w:rsidTr="0003692E">
        <w:trPr>
          <w:trHeight w:val="834"/>
        </w:trPr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51200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77C75" w:rsidRPr="00A70D5E" w:rsidTr="0003692E">
        <w:trPr>
          <w:trHeight w:val="834"/>
        </w:trPr>
        <w:tc>
          <w:tcPr>
            <w:tcW w:w="517" w:type="dxa"/>
          </w:tcPr>
          <w:p w:rsidR="00B77C75" w:rsidRPr="00A70D5E" w:rsidRDefault="00B77C75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B77C75" w:rsidRPr="00A70D5E" w:rsidRDefault="00B77C75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B77C75" w:rsidRPr="00A70D5E" w:rsidRDefault="00B77C75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B77C75" w:rsidRPr="00B77C75" w:rsidRDefault="00B77C75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C75">
              <w:rPr>
                <w:sz w:val="20"/>
                <w:szCs w:val="26"/>
              </w:rPr>
              <w:t>5879</w:t>
            </w:r>
            <w:r w:rsidRPr="00B77C75">
              <w:rPr>
                <w:sz w:val="20"/>
                <w:szCs w:val="26"/>
                <w:lang w:val="en-US"/>
              </w:rPr>
              <w:t>F</w:t>
            </w:r>
          </w:p>
        </w:tc>
        <w:tc>
          <w:tcPr>
            <w:tcW w:w="7469" w:type="dxa"/>
          </w:tcPr>
          <w:p w:rsidR="00B77C75" w:rsidRPr="00B77C75" w:rsidRDefault="00B77C75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C75">
              <w:rPr>
                <w:rFonts w:ascii="Times New Roman" w:hAnsi="Times New Roman" w:cs="Times New Roman"/>
                <w:sz w:val="20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B77C75">
              <w:rPr>
                <w:rFonts w:ascii="Times New Roman" w:hAnsi="Times New Roman" w:cs="Times New Roman"/>
                <w:sz w:val="20"/>
                <w:szCs w:val="26"/>
              </w:rPr>
              <w:t xml:space="preserve"> детей, за счет средств резервного фонда Правительства Российской Федерации</w:t>
            </w:r>
          </w:p>
        </w:tc>
      </w:tr>
    </w:tbl>
    <w:p w:rsidR="00965401" w:rsidRDefault="00965401" w:rsidP="00965401">
      <w:pPr>
        <w:jc w:val="both"/>
      </w:pPr>
    </w:p>
    <w:p w:rsidR="00965401" w:rsidRDefault="00965401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B626D0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Начальник управления финансов      </w:t>
      </w: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администрации района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</w:t>
      </w:r>
      <w:r w:rsidRPr="00527BF0">
        <w:t>Н.Муратова</w:t>
      </w:r>
      <w:proofErr w:type="spellEnd"/>
      <w:r>
        <w:tab/>
      </w:r>
      <w:r>
        <w:tab/>
      </w:r>
      <w:r>
        <w:tab/>
      </w:r>
      <w:r>
        <w:tab/>
      </w:r>
      <w:r w:rsidRPr="00527BF0">
        <w:t xml:space="preserve">                      </w:t>
      </w:r>
      <w:r>
        <w:t xml:space="preserve">                   </w:t>
      </w:r>
    </w:p>
    <w:p w:rsidR="00965401" w:rsidRPr="000724C0" w:rsidRDefault="00965401" w:rsidP="002B1F53">
      <w:pPr>
        <w:jc w:val="both"/>
        <w:rPr>
          <w:sz w:val="22"/>
        </w:rPr>
      </w:pPr>
    </w:p>
    <w:p w:rsidR="000724C0" w:rsidRDefault="000724C0" w:rsidP="000724C0">
      <w:pPr>
        <w:ind w:firstLine="708"/>
        <w:jc w:val="both"/>
      </w:pPr>
    </w:p>
    <w:sectPr w:rsidR="000724C0" w:rsidSect="00B77C7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54318"/>
    <w:multiLevelType w:val="multilevel"/>
    <w:tmpl w:val="431C0CB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9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21"/>
  </w:num>
  <w:num w:numId="7">
    <w:abstractNumId w:val="15"/>
  </w:num>
  <w:num w:numId="8">
    <w:abstractNumId w:val="17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22"/>
  </w:num>
  <w:num w:numId="15">
    <w:abstractNumId w:val="6"/>
  </w:num>
  <w:num w:numId="16">
    <w:abstractNumId w:val="13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5"/>
    <w:rsid w:val="0003692E"/>
    <w:rsid w:val="000724C0"/>
    <w:rsid w:val="001926AD"/>
    <w:rsid w:val="001966F9"/>
    <w:rsid w:val="002463C5"/>
    <w:rsid w:val="0026033A"/>
    <w:rsid w:val="00280386"/>
    <w:rsid w:val="00294F32"/>
    <w:rsid w:val="002B1F53"/>
    <w:rsid w:val="002F238F"/>
    <w:rsid w:val="00333E6F"/>
    <w:rsid w:val="003C1A78"/>
    <w:rsid w:val="003E6A12"/>
    <w:rsid w:val="0046138D"/>
    <w:rsid w:val="004B42CB"/>
    <w:rsid w:val="004E37D0"/>
    <w:rsid w:val="0050534D"/>
    <w:rsid w:val="00573E56"/>
    <w:rsid w:val="005C1A9D"/>
    <w:rsid w:val="00621EB1"/>
    <w:rsid w:val="007254FF"/>
    <w:rsid w:val="00793AED"/>
    <w:rsid w:val="00844FC0"/>
    <w:rsid w:val="00891490"/>
    <w:rsid w:val="00965401"/>
    <w:rsid w:val="00A1752F"/>
    <w:rsid w:val="00A66E0B"/>
    <w:rsid w:val="00B06ADC"/>
    <w:rsid w:val="00B77C75"/>
    <w:rsid w:val="00BD7904"/>
    <w:rsid w:val="00D005F5"/>
    <w:rsid w:val="00D5468F"/>
    <w:rsid w:val="00ED6D1E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13" Type="http://schemas.openxmlformats.org/officeDocument/2006/relationships/hyperlink" Target="consultantplus://offline/ref=2D6F79C5FDA01B1182F2F9DE0CD9EDB264A6EC33D78219DC1DB99980F08E9C2679496F6B613ACE50BC6387HDM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20;n=41251;fld=134;dst=100011" TargetMode="External"/><Relationship Id="rId12" Type="http://schemas.openxmlformats.org/officeDocument/2006/relationships/hyperlink" Target="consultantplus://offline/ref=90CE9DDB54141128C882F8526AB17B55B0E1DF4C03078C2C43DB1C0B05DFD7F3F4B1CE64D2363094F224DF413D3F68877F7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CE9DDB54141128C882F8526AB17B55B0E1DF4C03078C2C43DB1C0B05DFD7F3F4B1CE64D2363094F224DF413D3F68877F7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77E39E0D9DAC03B90DA41484EA9BD0A62FE9A228B570BA88E1C04C0F3B3B9DC67DEF9716CF1B97ECAE5A2A2D0CC5720EB0f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8580B7ED59B580927B7C1201B0FD3ACC304AFDDC730589747ED2F18CC26A7A5790CB0F48CD1E58B060C193D4l7w3M" TargetMode="External"/><Relationship Id="rId14" Type="http://schemas.openxmlformats.org/officeDocument/2006/relationships/hyperlink" Target="consultantplus://offline/ref=2D6F79C5FDA01B1182F2F9DE0CD9EDB264A6EC33D78219DC1DB99980F08E9C2679496F6B613ACE50BC6D82HD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8C58-AA94-46CB-B227-56C7B2CF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16</Pages>
  <Words>8868</Words>
  <Characters>50549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2020-03-05T12:55:00Z</cp:lastPrinted>
  <dcterms:created xsi:type="dcterms:W3CDTF">2020-02-21T12:22:00Z</dcterms:created>
  <dcterms:modified xsi:type="dcterms:W3CDTF">2020-12-29T04:58:00Z</dcterms:modified>
</cp:coreProperties>
</file>