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42A90" w:rsidRPr="000A3A9D" w:rsidTr="00747ABC">
        <w:trPr>
          <w:trHeight w:val="1089"/>
          <w:jc w:val="right"/>
        </w:trPr>
        <w:tc>
          <w:tcPr>
            <w:tcW w:w="2500" w:type="pct"/>
            <w:vAlign w:val="center"/>
          </w:tcPr>
          <w:p w:rsidR="00C42A90" w:rsidRPr="00762C16" w:rsidRDefault="00C42A90" w:rsidP="00747ABC">
            <w:pPr>
              <w:jc w:val="center"/>
              <w:rPr>
                <w:sz w:val="28"/>
                <w:szCs w:val="28"/>
              </w:rPr>
            </w:pPr>
          </w:p>
          <w:p w:rsidR="00C42A90" w:rsidRPr="00212FC4" w:rsidRDefault="00750F10" w:rsidP="00750F1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C42A9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C42A9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C42A90" w:rsidRPr="000A3A9D">
              <w:rPr>
                <w:sz w:val="28"/>
                <w:szCs w:val="28"/>
              </w:rPr>
              <w:t xml:space="preserve"> года </w:t>
            </w:r>
            <w:r w:rsidR="00C42A9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C42A90" w:rsidRPr="000724C0" w:rsidRDefault="00C42A90" w:rsidP="00CE5248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CE5248">
              <w:rPr>
                <w:sz w:val="28"/>
                <w:szCs w:val="28"/>
              </w:rPr>
              <w:t>19</w:t>
            </w:r>
          </w:p>
        </w:tc>
      </w:tr>
    </w:tbl>
    <w:p w:rsidR="00C42A90" w:rsidRPr="00750F10" w:rsidRDefault="00C42A90" w:rsidP="00750F10">
      <w:pPr>
        <w:ind w:right="4535"/>
      </w:pPr>
      <w:r w:rsidRPr="00677C63">
        <w:rPr>
          <w:szCs w:val="28"/>
        </w:rPr>
        <w:t>О внесении изменений в приказ управления финансов</w:t>
      </w:r>
      <w:r w:rsidR="00750F10">
        <w:rPr>
          <w:szCs w:val="28"/>
        </w:rPr>
        <w:t xml:space="preserve"> </w:t>
      </w:r>
      <w:r w:rsidRPr="00677C63">
        <w:rPr>
          <w:szCs w:val="28"/>
        </w:rPr>
        <w:t>администрации Грязинского муниципального района</w:t>
      </w:r>
      <w:r w:rsidR="00750F10">
        <w:rPr>
          <w:szCs w:val="28"/>
        </w:rPr>
        <w:t xml:space="preserve"> </w:t>
      </w:r>
      <w:r w:rsidRPr="00677C63">
        <w:rPr>
          <w:szCs w:val="28"/>
        </w:rPr>
        <w:t xml:space="preserve">от </w:t>
      </w:r>
      <w:r>
        <w:rPr>
          <w:szCs w:val="28"/>
        </w:rPr>
        <w:t>2</w:t>
      </w:r>
      <w:r w:rsidR="00750F10">
        <w:rPr>
          <w:szCs w:val="28"/>
        </w:rPr>
        <w:t>2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</w:t>
      </w:r>
      <w:r w:rsidR="00750F10">
        <w:rPr>
          <w:szCs w:val="28"/>
        </w:rPr>
        <w:t>2</w:t>
      </w:r>
      <w:r w:rsidRPr="00677C63">
        <w:rPr>
          <w:szCs w:val="28"/>
        </w:rPr>
        <w:t xml:space="preserve"> года № </w:t>
      </w:r>
      <w:r w:rsidR="004F4FB5">
        <w:rPr>
          <w:szCs w:val="28"/>
        </w:rPr>
        <w:t>82</w:t>
      </w:r>
      <w:r w:rsidRPr="00677C63">
        <w:rPr>
          <w:szCs w:val="28"/>
        </w:rPr>
        <w:t xml:space="preserve"> </w:t>
      </w:r>
      <w:r w:rsidRPr="00750F10">
        <w:t>"</w:t>
      </w:r>
      <w:r w:rsidR="00750F10" w:rsidRPr="00750F10">
        <w:t>Об утверждении Порядка применения Бюджетной классификации Российской Федерации в части целевых статей, применяемых при составлении и исполнении районного бюджета на 2023 год и на плановый период 2024 и 2025 годов Грязинского муниципального района</w:t>
      </w:r>
      <w:r w:rsidRPr="00750F10">
        <w:t>"</w:t>
      </w:r>
    </w:p>
    <w:p w:rsidR="00C42A90" w:rsidRPr="00A31CF4" w:rsidRDefault="00C42A90" w:rsidP="00C42A90">
      <w:pPr>
        <w:pStyle w:val="a3"/>
        <w:jc w:val="left"/>
        <w:rPr>
          <w:szCs w:val="28"/>
        </w:rPr>
      </w:pPr>
    </w:p>
    <w:p w:rsid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6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Default="0094145B" w:rsidP="00C42A90">
      <w:pPr>
        <w:ind w:firstLine="708"/>
        <w:jc w:val="both"/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750F10">
        <w:t>2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</w:t>
      </w:r>
      <w:r w:rsidR="00750F10">
        <w:t>2</w:t>
      </w:r>
      <w:r w:rsidRPr="00677C63">
        <w:t xml:space="preserve"> года № </w:t>
      </w:r>
      <w:r w:rsidR="004F4FB5">
        <w:t>82</w:t>
      </w:r>
      <w:r w:rsidRPr="00677C63">
        <w:t xml:space="preserve"> </w:t>
      </w:r>
      <w:r>
        <w:t>"</w:t>
      </w:r>
      <w:r w:rsidR="00750F10" w:rsidRPr="00750F10">
        <w:t>Об утверждении Порядка применения Бюджетной классификации Российской Федерации в части целевых статей, применяемых при составлении и исполнении районного бюджета на 2023 год и на плановый период 2024 и 2025 годов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D5293A" w:rsidRPr="00D5293A" w:rsidRDefault="00D5293A" w:rsidP="00D5293A">
      <w:pPr>
        <w:pStyle w:val="a6"/>
        <w:ind w:firstLine="708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C42A90" w:rsidRDefault="00A24909" w:rsidP="00C42A90">
      <w:pPr>
        <w:ind w:firstLine="708"/>
        <w:jc w:val="both"/>
        <w:rPr>
          <w:sz w:val="22"/>
        </w:rPr>
      </w:pPr>
      <w:r>
        <w:t>1</w:t>
      </w:r>
      <w:r w:rsidR="00C42A90">
        <w:t xml:space="preserve">. В разделе </w:t>
      </w:r>
      <w:r w:rsidR="00C42A90" w:rsidRPr="00C42A90">
        <w:rPr>
          <w:bCs/>
        </w:rPr>
        <w:t xml:space="preserve">II. </w:t>
      </w:r>
      <w:r w:rsidR="00C42A90">
        <w:rPr>
          <w:bCs/>
        </w:rPr>
        <w:t>"</w:t>
      </w:r>
      <w:r w:rsidR="00C42A90" w:rsidRPr="00C42A90">
        <w:rPr>
          <w:bCs/>
        </w:rPr>
        <w:t>Перечень и правила отнесения расходов районного бюджета на соответствующие целевые статьи</w:t>
      </w:r>
      <w:r w:rsidR="00C42A90">
        <w:rPr>
          <w:sz w:val="22"/>
        </w:rPr>
        <w:t>":</w:t>
      </w:r>
    </w:p>
    <w:p w:rsidR="00F665E6" w:rsidRPr="00D5293A" w:rsidRDefault="00F665E6" w:rsidP="00C42A90">
      <w:pPr>
        <w:ind w:firstLine="708"/>
        <w:jc w:val="both"/>
      </w:pPr>
      <w:r>
        <w:rPr>
          <w:sz w:val="22"/>
        </w:rPr>
        <w:t xml:space="preserve">1) </w:t>
      </w:r>
      <w:r w:rsidRPr="00D5293A">
        <w:t xml:space="preserve">целевую статью "06 3 00 00000 </w:t>
      </w:r>
      <w:r w:rsidRPr="00D5293A">
        <w:rPr>
          <w:snapToGrid w:val="0"/>
        </w:rPr>
        <w:t>Подпрограмма "Строительство, приобретение, реконструкция и ремонт муниципального имущества Грязинского муниципального района на 2014 – 2026 годы" изложить в новой редакции:</w:t>
      </w:r>
    </w:p>
    <w:p w:rsidR="00F665E6" w:rsidRPr="00EA22A9" w:rsidRDefault="00F665E6" w:rsidP="00F665E6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 w:rsidRPr="00D5293A">
        <w:t xml:space="preserve">"06 3 00 00000 </w:t>
      </w:r>
      <w:r w:rsidRPr="00D5293A">
        <w:rPr>
          <w:snapToGrid w:val="0"/>
        </w:rPr>
        <w:t>Подпрограмма "Строительство</w:t>
      </w:r>
      <w:r w:rsidRPr="00EA22A9">
        <w:rPr>
          <w:snapToGrid w:val="0"/>
          <w:szCs w:val="28"/>
        </w:rPr>
        <w:t>, приобретение, реконструкция и ремонт муниципального имущества Грязинского муниципального района на 2014 – 202</w:t>
      </w:r>
      <w:r w:rsidRPr="008031D3">
        <w:rPr>
          <w:snapToGrid w:val="0"/>
          <w:szCs w:val="28"/>
        </w:rPr>
        <w:t>6</w:t>
      </w:r>
      <w:r w:rsidRPr="00EA22A9">
        <w:rPr>
          <w:snapToGrid w:val="0"/>
          <w:szCs w:val="28"/>
        </w:rPr>
        <w:t xml:space="preserve"> годы"</w:t>
      </w:r>
    </w:p>
    <w:p w:rsidR="00F665E6" w:rsidRDefault="00F665E6" w:rsidP="00F665E6">
      <w:pPr>
        <w:widowControl w:val="0"/>
        <w:autoSpaceDE w:val="0"/>
        <w:autoSpaceDN w:val="0"/>
        <w:adjustRightInd w:val="0"/>
        <w:ind w:left="720" w:firstLine="556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</w:t>
      </w:r>
      <w:r>
        <w:rPr>
          <w:szCs w:val="28"/>
        </w:rPr>
        <w:t xml:space="preserve"> и региональным проектам</w:t>
      </w:r>
      <w:r w:rsidRPr="00F12239">
        <w:rPr>
          <w:szCs w:val="28"/>
        </w:rPr>
        <w:t>:</w:t>
      </w:r>
    </w:p>
    <w:p w:rsidR="00F665E6" w:rsidRDefault="00F665E6" w:rsidP="00F665E6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02 00000 Основное мероприятие "Уплата взносов на капитальный ремонт муниципального жилого фонда"</w:t>
      </w:r>
    </w:p>
    <w:p w:rsidR="00F665E6" w:rsidRPr="00E22ACA" w:rsidRDefault="00F665E6" w:rsidP="00F665E6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 w:val="32"/>
          <w:szCs w:val="28"/>
        </w:rPr>
      </w:pPr>
      <w:r w:rsidRPr="00E22ACA">
        <w:rPr>
          <w:szCs w:val="20"/>
        </w:rPr>
        <w:t>06 3 05 00000 Основное мероприятие "Рекультивация земель и разработка проектов на рекультивацию земель"</w:t>
      </w:r>
    </w:p>
    <w:p w:rsidR="00F665E6" w:rsidRPr="006872EA" w:rsidRDefault="00F665E6" w:rsidP="00F665E6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6872EA">
        <w:rPr>
          <w:szCs w:val="28"/>
        </w:rPr>
        <w:t xml:space="preserve">06 3 06 00000 </w:t>
      </w:r>
      <w:r w:rsidR="00917070" w:rsidRPr="00464A73">
        <w:rPr>
          <w:szCs w:val="28"/>
        </w:rPr>
        <w:t>Основное мероприятие "Обеспечение деятельности по сбору, обработке, утилизации, обезвреживанию и захоронению отходов на территории района"</w:t>
      </w:r>
    </w:p>
    <w:p w:rsidR="00F665E6" w:rsidRPr="00EA22A9" w:rsidRDefault="00F665E6" w:rsidP="00F665E6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B336AC">
        <w:t>06 3 10 00000 Основное мероприятие "Расходы на реализацию государстве</w:t>
      </w:r>
      <w:r w:rsidRPr="00EA22A9">
        <w:rPr>
          <w:szCs w:val="28"/>
        </w:rPr>
        <w:t>нных полномочий на возмещение стоимости услуг по погребению"</w:t>
      </w:r>
    </w:p>
    <w:p w:rsidR="00F665E6" w:rsidRPr="00042106" w:rsidRDefault="00F665E6" w:rsidP="00F665E6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11 00000 Основное мероприятие "</w:t>
      </w:r>
      <w:r w:rsidRPr="00EA22A9">
        <w:t>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</w:r>
    </w:p>
    <w:p w:rsidR="00F665E6" w:rsidRDefault="00F665E6" w:rsidP="00F665E6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06 3 12 00000 </w:t>
      </w:r>
      <w:r w:rsidRPr="00042106">
        <w:rPr>
          <w:szCs w:val="28"/>
        </w:rPr>
        <w:t>Основное мероприятие "Расходы, направленные на организацию холодного водоснабжения населения и (или) водоотведения в части сохранения и развитие имеющегося потенциала мощности централизованных систем"</w:t>
      </w:r>
    </w:p>
    <w:p w:rsidR="00F665E6" w:rsidRPr="00EC705D" w:rsidRDefault="00F665E6" w:rsidP="00F665E6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06 3 14 00000 </w:t>
      </w:r>
      <w:r w:rsidRPr="00F665E6">
        <w:rPr>
          <w:szCs w:val="28"/>
        </w:rPr>
        <w:t>Основное мероприятие "Модернизация систем коммунальной инфраструктуры"</w:t>
      </w:r>
      <w:r>
        <w:rPr>
          <w:szCs w:val="28"/>
        </w:rPr>
        <w:t xml:space="preserve"> </w:t>
      </w:r>
    </w:p>
    <w:p w:rsidR="00F665E6" w:rsidRPr="00EA22A9" w:rsidRDefault="00F665E6" w:rsidP="00F665E6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 xml:space="preserve">06 3 </w:t>
      </w:r>
      <w:r w:rsidRPr="00EA22A9">
        <w:rPr>
          <w:szCs w:val="28"/>
          <w:lang w:val="en-US"/>
        </w:rPr>
        <w:t>F1</w:t>
      </w:r>
      <w:r w:rsidRPr="00EA22A9">
        <w:rPr>
          <w:szCs w:val="28"/>
        </w:rPr>
        <w:t xml:space="preserve"> 00000 Региональный проект "Жильё".</w:t>
      </w:r>
    </w:p>
    <w:p w:rsidR="00F665E6" w:rsidRDefault="00F665E6" w:rsidP="00C42A90">
      <w:pPr>
        <w:ind w:firstLine="708"/>
        <w:jc w:val="both"/>
        <w:rPr>
          <w:sz w:val="22"/>
        </w:rPr>
      </w:pPr>
    </w:p>
    <w:p w:rsidR="00747ABC" w:rsidRDefault="00F665E6" w:rsidP="00C42A90">
      <w:pPr>
        <w:ind w:firstLine="708"/>
        <w:jc w:val="both"/>
        <w:rPr>
          <w:sz w:val="22"/>
        </w:rPr>
      </w:pPr>
      <w:r>
        <w:rPr>
          <w:sz w:val="22"/>
        </w:rPr>
        <w:t>2</w:t>
      </w:r>
      <w:r w:rsidR="00517059">
        <w:rPr>
          <w:sz w:val="22"/>
        </w:rPr>
        <w:t xml:space="preserve">) </w:t>
      </w:r>
      <w:r w:rsidR="00517059">
        <w:t>целевую статью "</w:t>
      </w:r>
      <w:r w:rsidR="00517059" w:rsidRPr="00EA22A9">
        <w:rPr>
          <w:szCs w:val="28"/>
        </w:rPr>
        <w:t>0</w:t>
      </w:r>
      <w:r w:rsidR="00517059">
        <w:rPr>
          <w:szCs w:val="28"/>
        </w:rPr>
        <w:t>7</w:t>
      </w:r>
      <w:r w:rsidR="00517059" w:rsidRPr="00EA22A9">
        <w:rPr>
          <w:szCs w:val="28"/>
        </w:rPr>
        <w:t xml:space="preserve"> </w:t>
      </w:r>
      <w:r w:rsidR="00517059">
        <w:rPr>
          <w:szCs w:val="28"/>
        </w:rPr>
        <w:t>1</w:t>
      </w:r>
      <w:r w:rsidR="00517059" w:rsidRPr="00EA22A9">
        <w:rPr>
          <w:szCs w:val="28"/>
        </w:rPr>
        <w:t xml:space="preserve"> 00 00000 </w:t>
      </w:r>
      <w:r w:rsidR="00517059" w:rsidRPr="00EA22A9">
        <w:rPr>
          <w:snapToGrid w:val="0"/>
          <w:szCs w:val="28"/>
        </w:rPr>
        <w:t>Подпрограмма "</w:t>
      </w:r>
      <w:r w:rsidR="00517059" w:rsidRPr="00E9118D">
        <w:rPr>
          <w:szCs w:val="28"/>
        </w:rPr>
        <w:t xml:space="preserve">Ресурсное обеспечение развития образования в Грязинском муниципальном районе Липецкой области в 2020 </w:t>
      </w:r>
      <w:r w:rsidR="00517059">
        <w:rPr>
          <w:szCs w:val="28"/>
        </w:rPr>
        <w:t>–</w:t>
      </w:r>
      <w:r w:rsidR="00517059" w:rsidRPr="00E9118D">
        <w:rPr>
          <w:szCs w:val="28"/>
        </w:rPr>
        <w:t xml:space="preserve"> 202</w:t>
      </w:r>
      <w:r w:rsidR="00517059" w:rsidRPr="001C1ADD">
        <w:rPr>
          <w:szCs w:val="28"/>
        </w:rPr>
        <w:t>6</w:t>
      </w:r>
      <w:r w:rsidR="00517059" w:rsidRPr="0045351D">
        <w:rPr>
          <w:szCs w:val="28"/>
        </w:rPr>
        <w:t xml:space="preserve"> </w:t>
      </w:r>
      <w:r w:rsidR="00517059" w:rsidRPr="00E9118D">
        <w:rPr>
          <w:szCs w:val="28"/>
        </w:rPr>
        <w:t>гг.</w:t>
      </w:r>
      <w:r w:rsidR="00517059" w:rsidRPr="00EA22A9">
        <w:rPr>
          <w:snapToGrid w:val="0"/>
          <w:szCs w:val="28"/>
        </w:rPr>
        <w:t>"</w:t>
      </w:r>
      <w:r w:rsidR="00517059">
        <w:rPr>
          <w:snapToGrid w:val="0"/>
          <w:szCs w:val="28"/>
        </w:rPr>
        <w:t xml:space="preserve"> изложить в новой редакции:</w:t>
      </w:r>
    </w:p>
    <w:p w:rsidR="00517059" w:rsidRPr="00F12239" w:rsidRDefault="00517059" w:rsidP="00517059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szCs w:val="28"/>
        </w:rPr>
        <w:t xml:space="preserve">"07 1 00 00000 </w:t>
      </w:r>
      <w:r w:rsidRPr="00E9118D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E9118D">
        <w:rPr>
          <w:szCs w:val="28"/>
        </w:rPr>
        <w:t xml:space="preserve">Ресурсное обеспечение развития образования в Грязинском муниципальном районе Липецкой области в 2020 </w:t>
      </w:r>
      <w:r>
        <w:rPr>
          <w:szCs w:val="28"/>
        </w:rPr>
        <w:t>–</w:t>
      </w:r>
      <w:r w:rsidRPr="00E9118D">
        <w:rPr>
          <w:szCs w:val="28"/>
        </w:rPr>
        <w:t xml:space="preserve"> 202</w:t>
      </w:r>
      <w:r w:rsidRPr="001C1ADD">
        <w:rPr>
          <w:szCs w:val="28"/>
        </w:rPr>
        <w:t>6</w:t>
      </w:r>
      <w:r w:rsidRPr="0045351D">
        <w:rPr>
          <w:szCs w:val="28"/>
        </w:rPr>
        <w:t xml:space="preserve"> </w:t>
      </w:r>
      <w:r w:rsidRPr="00E9118D">
        <w:rPr>
          <w:szCs w:val="28"/>
        </w:rPr>
        <w:t>гг.</w:t>
      </w:r>
      <w:r>
        <w:rPr>
          <w:szCs w:val="28"/>
        </w:rPr>
        <w:t>"</w:t>
      </w:r>
    </w:p>
    <w:p w:rsidR="00517059" w:rsidRDefault="00517059" w:rsidP="00517059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</w:t>
      </w:r>
      <w:r>
        <w:rPr>
          <w:szCs w:val="28"/>
        </w:rPr>
        <w:t xml:space="preserve"> и региональным проектам</w:t>
      </w:r>
      <w:r w:rsidRPr="00F12239">
        <w:rPr>
          <w:szCs w:val="28"/>
        </w:rPr>
        <w:t>:</w:t>
      </w:r>
    </w:p>
    <w:p w:rsidR="00517059" w:rsidRPr="00EA22A9" w:rsidRDefault="00517059" w:rsidP="0051705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01 00000 Основное мероприятие "Развитие системы дошкольного образования"</w:t>
      </w:r>
    </w:p>
    <w:p w:rsidR="00517059" w:rsidRPr="00EA22A9" w:rsidRDefault="00517059" w:rsidP="0051705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02 00000 Основное мероприятие "Развитие системы общего образования"</w:t>
      </w:r>
    </w:p>
    <w:p w:rsidR="00517059" w:rsidRPr="00EA22A9" w:rsidRDefault="00517059" w:rsidP="0051705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03 00000 Основное мероприятие "Развитие системы дополнительного образования"</w:t>
      </w:r>
    </w:p>
    <w:p w:rsidR="00517059" w:rsidRPr="00EA22A9" w:rsidRDefault="00517059" w:rsidP="0051705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05 00000 Основное мероприятие "Содержание аппарата отдела образования администрации Грязинского муниципального района"</w:t>
      </w:r>
    </w:p>
    <w:p w:rsidR="00517059" w:rsidRPr="00EA22A9" w:rsidRDefault="00517059" w:rsidP="0051705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06 00000 Основное мероприятие "Содержание аппарата МБУ "Централизованная бухгалтерия учреждений образования Грязинского муниципального района"</w:t>
      </w:r>
    </w:p>
    <w:p w:rsidR="00517059" w:rsidRDefault="00517059" w:rsidP="0051705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08 00000 Основное мероприятие "Оплата жилья и коммунальных услуг педагогическим работникам"</w:t>
      </w:r>
    </w:p>
    <w:p w:rsidR="00517059" w:rsidRPr="00EA22A9" w:rsidRDefault="00517059" w:rsidP="0051705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12 00000 Основное мероприятие "Повышение квалификации педагогических работников муниципальных образовательных организаций"</w:t>
      </w:r>
    </w:p>
    <w:p w:rsidR="00517059" w:rsidRPr="006872EA" w:rsidRDefault="00517059" w:rsidP="0051705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t xml:space="preserve">07 1 13 00000 Основное мероприятие "Реализация мероприятий, направленных на выполнение требований антитеррористической защищенности общеобразовательных </w:t>
      </w:r>
      <w:r w:rsidRPr="006872EA">
        <w:t>организаций"</w:t>
      </w:r>
    </w:p>
    <w:p w:rsidR="00517059" w:rsidRPr="004C7290" w:rsidRDefault="00517059" w:rsidP="0051705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t>07 1 14 00000</w:t>
      </w:r>
      <w:r w:rsidRPr="006872EA">
        <w:t xml:space="preserve"> 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</w:p>
    <w:p w:rsidR="004C7290" w:rsidRPr="002D0F05" w:rsidRDefault="004C7290" w:rsidP="00CE5248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4C7290">
        <w:t>07 1 15 00000 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</w:r>
    </w:p>
    <w:p w:rsidR="00517059" w:rsidRPr="0039389C" w:rsidRDefault="00517059" w:rsidP="0051705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proofErr w:type="gramStart"/>
      <w:r w:rsidRPr="0039389C">
        <w:rPr>
          <w:szCs w:val="28"/>
        </w:rPr>
        <w:t>07 1 16 00000 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</w:r>
      <w:proofErr w:type="gramEnd"/>
    </w:p>
    <w:p w:rsidR="00517059" w:rsidRPr="00546559" w:rsidRDefault="00517059" w:rsidP="0051705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07 1 17 00000 </w:t>
      </w:r>
      <w:r w:rsidRPr="00782E58">
        <w:rPr>
          <w:szCs w:val="28"/>
        </w:rPr>
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</w:r>
    </w:p>
    <w:p w:rsidR="00517059" w:rsidRPr="00EA22A9" w:rsidRDefault="00517059" w:rsidP="0051705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546559">
        <w:rPr>
          <w:szCs w:val="28"/>
        </w:rPr>
        <w:t xml:space="preserve">07 1 18 00000 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546559">
        <w:rPr>
          <w:szCs w:val="28"/>
        </w:rPr>
        <w:t>безбарьерной</w:t>
      </w:r>
      <w:proofErr w:type="spellEnd"/>
      <w:r w:rsidRPr="00546559">
        <w:rPr>
          <w:szCs w:val="28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</w:r>
    </w:p>
    <w:p w:rsidR="00517059" w:rsidRDefault="00517059" w:rsidP="0051705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rPr>
          <w:lang w:eastAsia="en-US"/>
        </w:rPr>
        <w:t>07 1 20 00000 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</w:r>
    </w:p>
    <w:p w:rsidR="00517059" w:rsidRDefault="00517059" w:rsidP="00CE5248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rPr>
          <w:lang w:eastAsia="en-US"/>
        </w:rPr>
        <w:t xml:space="preserve">07 1 22 00000 </w:t>
      </w:r>
      <w:r w:rsidR="00816BFE" w:rsidRPr="00816BFE">
        <w:rPr>
          <w:lang w:eastAsia="en-US"/>
        </w:rPr>
        <w:t>Основное мероприятие "Реализация мероприятий, направленных на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образования"</w:t>
      </w:r>
    </w:p>
    <w:p w:rsidR="00515912" w:rsidRDefault="00515912" w:rsidP="00515912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t xml:space="preserve">07 1 </w:t>
      </w:r>
      <w:r>
        <w:rPr>
          <w:lang w:val="en-US"/>
        </w:rPr>
        <w:t>E</w:t>
      </w:r>
      <w:r>
        <w:t xml:space="preserve">2 00000 </w:t>
      </w:r>
      <w:r w:rsidRPr="00436D53">
        <w:t>Региональный проект "Успех каждого ребенка"</w:t>
      </w:r>
    </w:p>
    <w:p w:rsidR="00517059" w:rsidRDefault="00517059" w:rsidP="0051705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t xml:space="preserve">07 1 </w:t>
      </w:r>
      <w:proofErr w:type="gramStart"/>
      <w:r>
        <w:rPr>
          <w:lang w:val="en-US"/>
        </w:rPr>
        <w:t>E</w:t>
      </w:r>
      <w:proofErr w:type="gramEnd"/>
      <w:r>
        <w:t>В 00000 "Р</w:t>
      </w:r>
      <w:r w:rsidRPr="00F03735">
        <w:t>егиональн</w:t>
      </w:r>
      <w:r>
        <w:t>ый</w:t>
      </w:r>
      <w:r w:rsidRPr="00F03735">
        <w:t xml:space="preserve"> проект "Патриотическое воспитание граждан Российской Федерации</w:t>
      </w:r>
      <w:r>
        <w:t>"</w:t>
      </w:r>
    </w:p>
    <w:p w:rsidR="00517059" w:rsidRPr="00F03735" w:rsidRDefault="00517059" w:rsidP="00517059">
      <w:pPr>
        <w:widowControl w:val="0"/>
        <w:autoSpaceDE w:val="0"/>
        <w:autoSpaceDN w:val="0"/>
        <w:adjustRightInd w:val="0"/>
        <w:jc w:val="both"/>
      </w:pPr>
    </w:p>
    <w:p w:rsidR="005476C9" w:rsidRDefault="005476C9" w:rsidP="00CF63E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476C9">
        <w:lastRenderedPageBreak/>
        <w:t xml:space="preserve">2. </w:t>
      </w:r>
      <w:r>
        <w:t>Р</w:t>
      </w:r>
      <w:r w:rsidR="00C42A90" w:rsidRPr="005476C9">
        <w:t xml:space="preserve">аздел III. "Уникальные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района" </w:t>
      </w:r>
      <w:r>
        <w:t xml:space="preserve">дополнить </w:t>
      </w:r>
      <w:r>
        <w:rPr>
          <w:bCs/>
        </w:rPr>
        <w:t>следующими направлениями расходов:</w:t>
      </w:r>
    </w:p>
    <w:p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A0602" w:rsidRDefault="005476C9" w:rsidP="004E7BD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 w:rsidRPr="005476C9">
        <w:rPr>
          <w:rFonts w:eastAsiaTheme="minorHAnsi"/>
          <w:szCs w:val="20"/>
          <w:lang w:eastAsia="en-US"/>
        </w:rPr>
        <w:t>"</w:t>
      </w:r>
      <w:r w:rsidR="001A0602">
        <w:rPr>
          <w:rFonts w:eastAsiaTheme="minorHAnsi"/>
          <w:szCs w:val="20"/>
          <w:lang w:eastAsia="en-US"/>
        </w:rPr>
        <w:t xml:space="preserve">00016 </w:t>
      </w:r>
      <w:r w:rsidR="001A0602" w:rsidRPr="001A0602">
        <w:rPr>
          <w:rFonts w:eastAsiaTheme="minorHAnsi"/>
          <w:szCs w:val="20"/>
          <w:lang w:eastAsia="en-US"/>
        </w:rPr>
        <w:t>Возмещение судебных расходов по исполнительным листам</w:t>
      </w:r>
    </w:p>
    <w:p w:rsidR="00212843" w:rsidRDefault="00212843" w:rsidP="00212843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1D3">
        <w:rPr>
          <w:rFonts w:ascii="Times New Roman" w:hAnsi="Times New Roman" w:cs="Times New Roman"/>
          <w:snapToGrid w:val="0"/>
          <w:sz w:val="24"/>
          <w:szCs w:val="24"/>
        </w:rPr>
        <w:t>По данному направлению расходов отражаются расходы районного бюджета по в</w:t>
      </w:r>
      <w:r w:rsidRPr="007461D3">
        <w:rPr>
          <w:rFonts w:ascii="Times New Roman" w:hAnsi="Times New Roman" w:cs="Times New Roman"/>
          <w:sz w:val="24"/>
          <w:szCs w:val="24"/>
        </w:rPr>
        <w:t>озмещению судебных расходов по исполнительным листам.</w:t>
      </w:r>
    </w:p>
    <w:p w:rsidR="001A0602" w:rsidRDefault="001A0602" w:rsidP="004E7BD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</w:p>
    <w:p w:rsidR="004E7BD9" w:rsidRPr="00AD2E57" w:rsidRDefault="005476C9" w:rsidP="004E7BD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 w:rsidRPr="005476C9">
        <w:rPr>
          <w:rFonts w:eastAsiaTheme="minorHAnsi"/>
          <w:szCs w:val="20"/>
          <w:lang w:eastAsia="en-US"/>
        </w:rPr>
        <w:t>5</w:t>
      </w:r>
      <w:r w:rsidR="004E7BD9">
        <w:rPr>
          <w:rFonts w:eastAsiaTheme="minorHAnsi"/>
          <w:szCs w:val="20"/>
          <w:lang w:eastAsia="en-US"/>
        </w:rPr>
        <w:t>1790</w:t>
      </w:r>
      <w:r>
        <w:rPr>
          <w:rFonts w:eastAsiaTheme="minorHAnsi"/>
          <w:szCs w:val="20"/>
          <w:lang w:eastAsia="en-US"/>
        </w:rPr>
        <w:t xml:space="preserve"> </w:t>
      </w:r>
      <w:r w:rsidR="004E7BD9" w:rsidRPr="00DB256E">
        <w:rPr>
          <w:rFonts w:eastAsiaTheme="minorHAnsi"/>
          <w:szCs w:val="20"/>
          <w:lang w:eastAsia="en-US"/>
        </w:rPr>
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:rsidR="00E56934" w:rsidRDefault="004E7BD9" w:rsidP="004E7BD9">
      <w:pPr>
        <w:autoSpaceDE w:val="0"/>
        <w:autoSpaceDN w:val="0"/>
        <w:adjustRightInd w:val="0"/>
        <w:ind w:firstLine="709"/>
        <w:jc w:val="both"/>
      </w:pPr>
      <w:proofErr w:type="gramStart"/>
      <w:r w:rsidRPr="00F03735">
        <w:t>По данному направлению расходов отражаются расходы районного бюджета, источником финансового обеспечения которых является субсидия, предоставляемая из федерального бюджета, а также из областного бюджета, осуществляемая на условиях софинансирования с федеральным бюджетом, на реализацию муниципальных программ, направленных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"Патриотическое воспитание граждан Российской Федерации</w:t>
      </w:r>
      <w:proofErr w:type="gramEnd"/>
      <w:r>
        <w:t xml:space="preserve">" (07 1 </w:t>
      </w:r>
      <w:proofErr w:type="gramStart"/>
      <w:r>
        <w:rPr>
          <w:lang w:val="en-US"/>
        </w:rPr>
        <w:t>E</w:t>
      </w:r>
      <w:proofErr w:type="gramEnd"/>
      <w:r>
        <w:t>В 00000).</w:t>
      </w:r>
    </w:p>
    <w:p w:rsidR="00E56934" w:rsidRDefault="00E56934" w:rsidP="00E5693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7290" w:rsidRPr="004C7290" w:rsidRDefault="004C7290" w:rsidP="004C7290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4C7290">
        <w:rPr>
          <w:rFonts w:ascii="Times New Roman" w:hAnsi="Times New Roman" w:cs="Times New Roman"/>
          <w:sz w:val="24"/>
          <w:szCs w:val="24"/>
        </w:rPr>
        <w:t xml:space="preserve">53030 </w:t>
      </w:r>
      <w:r w:rsidRPr="004C7290">
        <w:rPr>
          <w:rFonts w:ascii="Times New Roman" w:eastAsiaTheme="minorHAnsi" w:hAnsi="Times New Roman" w:cs="Times New Roman"/>
          <w:sz w:val="24"/>
          <w:szCs w:val="20"/>
          <w:lang w:eastAsia="en-US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</w:p>
    <w:p w:rsidR="004C7290" w:rsidRPr="005D3521" w:rsidRDefault="004C7290" w:rsidP="004C72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0"/>
          <w:lang w:eastAsia="en-US"/>
        </w:rPr>
      </w:pP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бюджета, источником финансового обеспечения которых являются </w:t>
      </w:r>
      <w:r>
        <w:rPr>
          <w:rFonts w:ascii="Times New Roman" w:hAnsi="Times New Roman" w:cs="Times New Roman"/>
          <w:sz w:val="24"/>
          <w:szCs w:val="20"/>
          <w:lang w:eastAsia="en-US"/>
        </w:rPr>
        <w:t xml:space="preserve">иной 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>межбюджетны</w:t>
      </w:r>
      <w:r>
        <w:rPr>
          <w:rFonts w:ascii="Times New Roman" w:hAnsi="Times New Roman" w:cs="Times New Roman"/>
          <w:sz w:val="24"/>
          <w:szCs w:val="20"/>
          <w:lang w:eastAsia="en-US"/>
        </w:rPr>
        <w:t>й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трансферт, предоставляемые из </w:t>
      </w:r>
      <w:r>
        <w:rPr>
          <w:rFonts w:ascii="Times New Roman" w:hAnsi="Times New Roman" w:cs="Times New Roman"/>
          <w:sz w:val="24"/>
          <w:szCs w:val="20"/>
          <w:lang w:eastAsia="en-US"/>
        </w:rPr>
        <w:t xml:space="preserve">федерального 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>бюджета на ежемесячно</w:t>
      </w:r>
      <w:r>
        <w:rPr>
          <w:rFonts w:ascii="Times New Roman" w:hAnsi="Times New Roman" w:cs="Times New Roman"/>
          <w:sz w:val="24"/>
          <w:szCs w:val="20"/>
          <w:lang w:eastAsia="en-US"/>
        </w:rPr>
        <w:t>е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денежно</w:t>
      </w:r>
      <w:r>
        <w:rPr>
          <w:rFonts w:ascii="Times New Roman" w:hAnsi="Times New Roman" w:cs="Times New Roman"/>
          <w:sz w:val="24"/>
          <w:szCs w:val="20"/>
          <w:lang w:eastAsia="en-US"/>
        </w:rPr>
        <w:t>е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вознаграждени</w:t>
      </w:r>
      <w:r>
        <w:rPr>
          <w:rFonts w:ascii="Times New Roman" w:hAnsi="Times New Roman" w:cs="Times New Roman"/>
          <w:sz w:val="24"/>
          <w:szCs w:val="20"/>
          <w:lang w:eastAsia="en-US"/>
        </w:rPr>
        <w:t>е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за классное руководство педагогическим работникам муниципальных </w:t>
      </w:r>
      <w:r>
        <w:rPr>
          <w:rFonts w:ascii="Times New Roman" w:hAnsi="Times New Roman" w:cs="Times New Roman"/>
          <w:sz w:val="24"/>
          <w:szCs w:val="20"/>
          <w:lang w:eastAsia="en-US"/>
        </w:rPr>
        <w:t>обще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образовательных организаций, реализующих образовательные программы начального общего, основного общего и среднего общего образования, в том </w:t>
      </w:r>
      <w:r w:rsidRPr="008065F5">
        <w:rPr>
          <w:rFonts w:ascii="Times New Roman" w:hAnsi="Times New Roman" w:cs="Times New Roman"/>
          <w:sz w:val="24"/>
          <w:szCs w:val="24"/>
          <w:lang w:eastAsia="en-US"/>
        </w:rPr>
        <w:t>числе адаптированные основные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общеобразовательные программы.</w:t>
      </w:r>
    </w:p>
    <w:p w:rsidR="004C7290" w:rsidRPr="004C7290" w:rsidRDefault="004C7290" w:rsidP="004C72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0"/>
          <w:lang w:eastAsia="en-US"/>
        </w:rPr>
      </w:pPr>
      <w:r w:rsidRPr="004C7290">
        <w:rPr>
          <w:rFonts w:ascii="Times New Roman" w:hAnsi="Times New Roman" w:cs="Times New Roman"/>
          <w:sz w:val="24"/>
          <w:szCs w:val="20"/>
          <w:lang w:eastAsia="en-US"/>
        </w:rPr>
        <w:t>Поступление иных межбюджетных трансфертов на указанные цели отражается по соответствующим кодам вида доходов 000 2 02 45303 00 0000 150 "Межбюджетные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классификации доходов бюджетов.</w:t>
      </w:r>
    </w:p>
    <w:p w:rsidR="004C7290" w:rsidRPr="004C7290" w:rsidRDefault="004C7290" w:rsidP="004C72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934" w:rsidRPr="002E00FA" w:rsidRDefault="00E56934" w:rsidP="00E5693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3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0392">
        <w:rPr>
          <w:rFonts w:ascii="Times New Roman" w:hAnsi="Times New Roman" w:cs="Times New Roman"/>
          <w:sz w:val="24"/>
          <w:szCs w:val="24"/>
        </w:rPr>
        <w:t>6210 Расходы</w:t>
      </w:r>
      <w:r w:rsidRPr="002E00FA">
        <w:rPr>
          <w:rFonts w:ascii="Times New Roman" w:hAnsi="Times New Roman" w:cs="Times New Roman"/>
          <w:sz w:val="24"/>
          <w:szCs w:val="24"/>
        </w:rPr>
        <w:t xml:space="preserve">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</w:r>
    </w:p>
    <w:p w:rsidR="00E56934" w:rsidRDefault="00E56934" w:rsidP="00E5693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F5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96CAD">
        <w:rPr>
          <w:rFonts w:ascii="Times New Roman" w:hAnsi="Times New Roman" w:cs="Times New Roman"/>
          <w:snapToGrid w:val="0"/>
          <w:sz w:val="24"/>
          <w:szCs w:val="24"/>
        </w:rPr>
        <w:t>порядке софинансирования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996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7014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является субсидии из областного бюджета, направленные </w:t>
      </w:r>
      <w:r w:rsidRPr="002E00FA">
        <w:rPr>
          <w:rFonts w:ascii="Times New Roman" w:hAnsi="Times New Roman" w:cs="Times New Roman"/>
          <w:sz w:val="24"/>
          <w:szCs w:val="24"/>
        </w:rPr>
        <w:t>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909" w:rsidRDefault="00E56934" w:rsidP="00E56934">
      <w:pPr>
        <w:autoSpaceDE w:val="0"/>
        <w:autoSpaceDN w:val="0"/>
        <w:adjustRightInd w:val="0"/>
        <w:ind w:firstLine="709"/>
        <w:jc w:val="both"/>
      </w:pPr>
      <w:r w:rsidRPr="00A403B6">
        <w:t>Поступление субсидий на указанные цели отражается по соответствующим кодам вида доходов 000 2 02 29999 00 0000 150 "Прочие субсидии" классификации доходов бюджетов.</w:t>
      </w:r>
    </w:p>
    <w:p w:rsidR="00A24909" w:rsidRDefault="00A24909" w:rsidP="00E56934">
      <w:pPr>
        <w:autoSpaceDE w:val="0"/>
        <w:autoSpaceDN w:val="0"/>
        <w:adjustRightInd w:val="0"/>
        <w:ind w:firstLine="709"/>
        <w:jc w:val="both"/>
      </w:pPr>
    </w:p>
    <w:p w:rsidR="00A24909" w:rsidRPr="00F12DA6" w:rsidRDefault="00A24909" w:rsidP="00A24909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r w:rsidRPr="00F12DA6">
        <w:rPr>
          <w:rFonts w:ascii="Times New Roman" w:eastAsiaTheme="minorHAnsi" w:hAnsi="Times New Roman" w:cs="Times New Roman"/>
          <w:sz w:val="24"/>
          <w:lang w:val="en-US" w:eastAsia="en-US"/>
        </w:rPr>
        <w:t>S</w:t>
      </w:r>
      <w:r w:rsidRPr="00F12DA6">
        <w:rPr>
          <w:rFonts w:ascii="Times New Roman" w:eastAsiaTheme="minorHAnsi" w:hAnsi="Times New Roman" w:cs="Times New Roman"/>
          <w:sz w:val="24"/>
          <w:lang w:eastAsia="en-US"/>
        </w:rPr>
        <w:t>9607 Р</w:t>
      </w:r>
      <w:r w:rsidRPr="00F12DA6">
        <w:rPr>
          <w:rFonts w:ascii="Times New Roman" w:hAnsi="Times New Roman" w:cs="Times New Roman"/>
          <w:sz w:val="24"/>
        </w:rPr>
        <w:t>асходы на обеспечение мероприятий по капитальному ремонту многоквартирных домов, модернизации систем коммунальной инфраструктуры</w:t>
      </w:r>
    </w:p>
    <w:p w:rsidR="00F12DA6" w:rsidRPr="00F12DA6" w:rsidRDefault="00F12DA6" w:rsidP="00A249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DA6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районного бюджета в </w:t>
      </w:r>
      <w:r w:rsidRPr="00F12DA6">
        <w:rPr>
          <w:rFonts w:ascii="Times New Roman" w:hAnsi="Times New Roman" w:cs="Times New Roman"/>
          <w:snapToGrid w:val="0"/>
          <w:sz w:val="24"/>
          <w:szCs w:val="24"/>
        </w:rPr>
        <w:t xml:space="preserve">порядке софинансирования, </w:t>
      </w:r>
      <w:r w:rsidRPr="00F12DA6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которых является субсидии из областного бюджета, направленные </w:t>
      </w:r>
      <w:r w:rsidRPr="00F12DA6">
        <w:rPr>
          <w:rFonts w:ascii="Times New Roman" w:hAnsi="Times New Roman" w:cs="Times New Roman"/>
          <w:sz w:val="24"/>
        </w:rPr>
        <w:t>на обеспечение мероприятий по капитальному ремонту многоквартирных домов, модернизации систем коммунальной инфраструктуры.</w:t>
      </w:r>
    </w:p>
    <w:p w:rsidR="004E7BD9" w:rsidRDefault="00A24909" w:rsidP="00F12DA6">
      <w:pPr>
        <w:pStyle w:val="a6"/>
        <w:ind w:firstLine="708"/>
        <w:jc w:val="both"/>
      </w:pPr>
      <w:r w:rsidRPr="00F12DA6">
        <w:rPr>
          <w:rFonts w:ascii="Times New Roman" w:eastAsiaTheme="minorHAnsi" w:hAnsi="Times New Roman" w:cs="Times New Roman"/>
          <w:sz w:val="24"/>
          <w:lang w:eastAsia="en-US"/>
        </w:rPr>
        <w:t xml:space="preserve">Поступление субсидий на указанные цели </w:t>
      </w:r>
      <w:r w:rsidRPr="00F12DA6">
        <w:rPr>
          <w:rFonts w:ascii="Times New Roman" w:hAnsi="Times New Roman" w:cs="Times New Roman"/>
          <w:sz w:val="24"/>
          <w:szCs w:val="24"/>
        </w:rPr>
        <w:t>отражается по соответствующим кодам вида доходов</w:t>
      </w:r>
      <w:r w:rsidR="00F12DA6" w:rsidRPr="00F12DA6">
        <w:rPr>
          <w:rFonts w:ascii="Times New Roman" w:hAnsi="Times New Roman" w:cs="Times New Roman"/>
          <w:sz w:val="24"/>
          <w:szCs w:val="24"/>
        </w:rPr>
        <w:t xml:space="preserve"> </w:t>
      </w:r>
      <w:r w:rsidR="00F12DA6" w:rsidRPr="00F12DA6">
        <w:rPr>
          <w:rFonts w:ascii="Times New Roman" w:eastAsiaTheme="minorHAnsi" w:hAnsi="Times New Roman" w:cs="Times New Roman"/>
          <w:sz w:val="24"/>
          <w:lang w:eastAsia="en-US"/>
        </w:rPr>
        <w:t xml:space="preserve">000 2 02 20303 05 0000 150 "Субсидии бюджетам муниципальных районов на обеспечение </w:t>
      </w:r>
      <w:r w:rsidR="00F12DA6" w:rsidRPr="00F12DA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мероприятий по модернизации систем коммунальной инфраструктуры за счет средств бюджетов" </w:t>
      </w:r>
      <w:r w:rsidR="00F12DA6" w:rsidRPr="00F12DA6">
        <w:rPr>
          <w:rFonts w:ascii="Times New Roman" w:hAnsi="Times New Roman" w:cs="Times New Roman"/>
          <w:sz w:val="24"/>
          <w:szCs w:val="24"/>
        </w:rPr>
        <w:t>классификации доходов бюджетов</w:t>
      </w:r>
      <w:proofErr w:type="gramStart"/>
      <w:r w:rsidR="00F12DA6" w:rsidRPr="00F12DA6">
        <w:rPr>
          <w:rFonts w:ascii="Times New Roman" w:hAnsi="Times New Roman" w:cs="Times New Roman"/>
          <w:sz w:val="24"/>
          <w:szCs w:val="24"/>
        </w:rPr>
        <w:t>.</w:t>
      </w:r>
      <w:r w:rsidR="004E7BD9" w:rsidRPr="00F12DA6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CF63E9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63E9" w:rsidRPr="0080118F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Раздел </w:t>
      </w:r>
      <w:r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6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917070" w:rsidRPr="00B03579" w:rsidTr="001A0602">
        <w:tc>
          <w:tcPr>
            <w:tcW w:w="2376" w:type="dxa"/>
            <w:gridSpan w:val="4"/>
            <w:vAlign w:val="center"/>
          </w:tcPr>
          <w:p w:rsidR="00917070" w:rsidRPr="00B0357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79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:rsidR="00917070" w:rsidRPr="00B0357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79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"Управление муниципальными финансами и муниципальным долгом Грязинского муниципального района на 2014 – 2026 годы"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917070" w:rsidRPr="00B03579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3938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"Социальное развитие территории Грязинского муниципального района Липецкой области на 2020 – 2026 годы"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Молодежь Грязинского муниципального района Липецкой области на 2020 – 2026 годы" 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"Духовно-нравственное и гражданско-патриотическое воспитание молодежи"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"Духовно-нравственное и гражданско-патриотическое воспитание молодежи"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"Развитие физической культуры и массового спорта в Грязинском муниципальном районе Липецкой области на 2020 – 2026 годы" 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  <w:lang w:val="en-US"/>
              </w:rPr>
              <w:t>S6</w:t>
            </w:r>
            <w:r w:rsidRPr="0039389C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  <w:lang w:val="en-US"/>
              </w:rPr>
              <w:t>S6</w:t>
            </w:r>
            <w:r w:rsidRPr="0039389C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"Дельфин"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"Сохранение и развитие культуры, библиотечного дела Грязинского 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муниципального района Липецкой области на 2020 – 2026 годы" 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районных конкурсов и фестивалей по различным жанрам и направлениям, организация и проведение культурно-досуговых мероприятий"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литературы (комплектование книжного фонда), подключение библиотек к сети Интернет"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 (расходы, направленные на организацию библиотечного обслуживания населения в части комплектования книжных фондов библиотек)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МБУК "МКМЦ"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ДО ДШИ"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 и переподготовка кадров, повышение квалификации"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МАУК "ЦКР"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А</w:t>
            </w:r>
            <w:proofErr w:type="gramStart"/>
            <w:r w:rsidRPr="0039389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"Культурная среда"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А</w:t>
            </w:r>
            <w:proofErr w:type="gramStart"/>
            <w:r w:rsidRPr="0039389C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55198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А</w:t>
            </w:r>
            <w:proofErr w:type="gramStart"/>
            <w:r w:rsidRPr="0039389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"Творческие люди"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А</w:t>
            </w:r>
            <w:proofErr w:type="gramStart"/>
            <w:r w:rsidRPr="0039389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"Поддержка казачьих обществ, действующих на территории Грязинского муниципального района Липецкой области на 2022 – 2026 годы"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"Финансовая поддержка казачьих обществ, действующих на 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"Финансовая поддержка казачьих обществ, действующих на 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</w:t>
            </w: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2026 годы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283834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917070" w:rsidRPr="0039389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917070"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917070"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и среднего предпринимательства и малых форм хозяйствования Грязинского муниципального района Липецкой области на 2020 – 2026 годы" 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</w:rPr>
              <w:t>0</w:t>
            </w:r>
            <w:r w:rsidRPr="0039389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осуществления деятельности сельскохозяйственных кредитных потребительских кооперативов"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  <w:lang w:val="en-US"/>
              </w:rPr>
              <w:t>S6860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праздника "День Российского предпринимателя"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праздника "День Российского предпринимателя"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283834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917070" w:rsidRPr="0039389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917070"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917070"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потребительского рынка Грязинского муниципального района Липецкой области на 2020 – 2026 годы" 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субсидий, направленных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60050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части затрат, связанных с приобретением автомобильного топлива для доставки товаров и заказов сельскому населению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  <w:lang w:val="en-US"/>
              </w:rPr>
              <w:t>S606</w:t>
            </w:r>
            <w:r w:rsidRPr="0039389C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Расходы,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"Модернизация и развитие пассажирского транспорта на территории Грязинского муниципального района Липецкой области на 2020 – 2026 годы"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"Организация транспортного обслуживания населения 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"Развитие сельского хозяйства и регулирование рынка сельскохозяйственной продукции, сырья и продовольствия на 2020 – 2026 годы"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"Организация отлова и содержания безнадзорных животных на территории Грязинского муниципального района"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"Обеспечение реализации муниципальной политики в Грязинском муниципальном районе на 2020 – 2026 </w:t>
            </w:r>
            <w:proofErr w:type="spell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"Совершенствование муниципальной службы Грязинского муниципального района на 2020 – 2026 </w:t>
            </w:r>
            <w:proofErr w:type="spell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"Обучение муниципальных служащих на курсах повышения квалификации"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  <w:lang w:val="en-US"/>
              </w:rPr>
              <w:t>S6</w:t>
            </w:r>
            <w:r w:rsidRPr="0039389C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"Совершенствование информационного обеспечения муниципальных служащих"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"Совершенствование информационного обеспечения муниципальных служащих"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  <w:lang w:val="en-US"/>
              </w:rPr>
              <w:t>S</w:t>
            </w:r>
            <w:r w:rsidRPr="0039389C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"Создание условий для обеспечения населения информацией о деятельности органов муниципальной власти и социально-экономическом развитии Грязинского муниципального района на 2020 – 2026 </w:t>
            </w:r>
            <w:proofErr w:type="spell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"Редакция газеты "Грязинские известия"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"Обеспечение реализации муниципальной политики на 2020 – 2026 </w:t>
            </w:r>
            <w:proofErr w:type="spell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содержание аппарата управления администрации Грязинского муниципального района"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полномочий в сфере архивного дела"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регистрации актов гражданского состояния"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"Расходы на реализацию государственных полномочий по регистрации актов гражданского состояния"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административных комиссий"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комиссии по делам несовершеннолетних и защите их прав"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области" 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отдельных государственных полномочий в области охраны труда"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пенсионное обеспечение муниципальных служащих"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оплате жилья и коммунальных услуг работникам культуры"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85252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культуры и искусства)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51340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 № 714 "Об обеспечении жильем ветеранов Великой Отечественной войны 1941 – 1945 годов"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"Членство в организациях и ассоциациях Липецкой области"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"Членство в организациях и ассоциациях Липецкой области"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Грязинского муниципального района Липецкой области "Обеспечение общественной безопасности населения и территории Грязинского муниципального района Липецкой области на 2014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– </w:t>
            </w: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– 202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 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"Финансовое обеспечение муниципального казенного учреждения "Единая дежурно-диспетчерская служба" Грязинского муниципального района"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Содержание МКУ "ЕДДС"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"Обеспечение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2026 годы"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 бесплатном предоставлении земельных участков, находящихся в государственной или муниципальной собственности, гражданам, имеющих трех и более детей, на 2014 – 2026 годы"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кадастровых работ по формированию земельных участков"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кадастровых работ по формированию земельных участков"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"Строительство, приобретение, реконструкция и ремонт муниципального имущества Грязинского муниципального района на 2014 – 2026 годы"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"Уплата взносов на капитальный ремонт муниципального жилого фонда" 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"Уплата взносов на капитальный ремонт муниципального жилого фонда"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"Рекультивация земель и разработка проектов на рекультивацию земель"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и разработка проектов на рекультивацию земель"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FF639D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FF639D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FF639D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FF639D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917070" w:rsidRPr="00E02311" w:rsidRDefault="00917070" w:rsidP="001A060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64A7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по сбору, обработке, утилизации, обезвреживанию и захоронению отходов на территории района"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0013</w:t>
            </w:r>
            <w:r w:rsidRPr="009205DB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на возмещение стоимости услуг по погребению"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85190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      </w:r>
          </w:p>
        </w:tc>
      </w:tr>
      <w:tr w:rsidR="00917070" w:rsidRPr="00286888" w:rsidTr="001A0602">
        <w:tc>
          <w:tcPr>
            <w:tcW w:w="517" w:type="dxa"/>
          </w:tcPr>
          <w:p w:rsidR="00917070" w:rsidRPr="00286888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6888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286888" w:rsidRDefault="00917070" w:rsidP="001A060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286888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917070" w:rsidRPr="00286888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917070" w:rsidRPr="00286888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688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      </w:r>
          </w:p>
        </w:tc>
      </w:tr>
      <w:tr w:rsidR="00917070" w:rsidRPr="00164434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S6390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"Расходы, направленные на организацию холодного водоснабжения населения и (или) водоотведения в части сохранения и развитие имеющегося потенциала мощности централизованных систем"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00019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</w:tr>
      <w:tr w:rsidR="00283834" w:rsidRPr="00B73B92" w:rsidTr="001A0602">
        <w:tc>
          <w:tcPr>
            <w:tcW w:w="517" w:type="dxa"/>
          </w:tcPr>
          <w:p w:rsidR="00283834" w:rsidRPr="00B73B92" w:rsidRDefault="00283834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lastRenderedPageBreak/>
              <w:t>06</w:t>
            </w:r>
          </w:p>
        </w:tc>
        <w:tc>
          <w:tcPr>
            <w:tcW w:w="410" w:type="dxa"/>
          </w:tcPr>
          <w:p w:rsidR="00283834" w:rsidRPr="00B73B92" w:rsidRDefault="00283834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3</w:t>
            </w:r>
          </w:p>
        </w:tc>
        <w:tc>
          <w:tcPr>
            <w:tcW w:w="546" w:type="dxa"/>
          </w:tcPr>
          <w:p w:rsidR="00283834" w:rsidRPr="00B73B92" w:rsidRDefault="00283834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12</w:t>
            </w:r>
          </w:p>
        </w:tc>
        <w:tc>
          <w:tcPr>
            <w:tcW w:w="903" w:type="dxa"/>
          </w:tcPr>
          <w:p w:rsidR="00283834" w:rsidRPr="00B73B92" w:rsidRDefault="00283834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99999</w:t>
            </w:r>
          </w:p>
        </w:tc>
        <w:tc>
          <w:tcPr>
            <w:tcW w:w="7938" w:type="dxa"/>
          </w:tcPr>
          <w:p w:rsidR="00283834" w:rsidRPr="00B73B92" w:rsidRDefault="00283834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Реализация направления расходов основного мероприятия "Расходы,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</w:rPr>
            </w:pPr>
            <w:r w:rsidRPr="00B73B92">
              <w:rPr>
                <w:rFonts w:eastAsia="Arial Unicode MS"/>
                <w:b/>
                <w:sz w:val="19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</w:rPr>
            </w:pPr>
            <w:r w:rsidRPr="00B73B92">
              <w:rPr>
                <w:rFonts w:eastAsia="Arial Unicode MS"/>
                <w:b/>
                <w:sz w:val="19"/>
                <w:szCs w:val="19"/>
              </w:rPr>
              <w:t>3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</w:rPr>
            </w:pPr>
            <w:r w:rsidRPr="00B73B92">
              <w:rPr>
                <w:rFonts w:eastAsia="Arial Unicode MS"/>
                <w:b/>
                <w:sz w:val="19"/>
                <w:szCs w:val="19"/>
              </w:rPr>
              <w:t>14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</w:rPr>
            </w:pPr>
            <w:r w:rsidRPr="00B73B92">
              <w:rPr>
                <w:rFonts w:eastAsia="Arial Unicode MS"/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Основное мероприятие "Модернизация систем коммунальной инфраструктуры"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3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14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00019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Переданные полномочия бюджету муниципального района получаемые из бюджета городск</w:t>
            </w:r>
            <w:bookmarkStart w:id="0" w:name="_GoBack"/>
            <w:bookmarkEnd w:id="0"/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ого поселения на осуществление части полномочий по организации в границах поселения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3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14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99999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Реализация направления расходов основного мероприятия "Модернизация систем коммунальной инфраструктуры"</w:t>
            </w:r>
          </w:p>
        </w:tc>
      </w:tr>
      <w:tr w:rsidR="009A60A5" w:rsidRPr="00B73B92" w:rsidTr="001A0602">
        <w:tc>
          <w:tcPr>
            <w:tcW w:w="517" w:type="dxa"/>
          </w:tcPr>
          <w:p w:rsidR="009A60A5" w:rsidRPr="00B73B92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A60A5" w:rsidRPr="00B73B92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3</w:t>
            </w:r>
          </w:p>
        </w:tc>
        <w:tc>
          <w:tcPr>
            <w:tcW w:w="546" w:type="dxa"/>
          </w:tcPr>
          <w:p w:rsidR="009A60A5" w:rsidRPr="00B73B92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14</w:t>
            </w:r>
          </w:p>
        </w:tc>
        <w:tc>
          <w:tcPr>
            <w:tcW w:w="903" w:type="dxa"/>
          </w:tcPr>
          <w:p w:rsidR="009A60A5" w:rsidRPr="00B73B92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  <w:lang w:val="en-US"/>
              </w:rPr>
              <w:t>S</w:t>
            </w:r>
            <w:r w:rsidRPr="00B73B92">
              <w:rPr>
                <w:rFonts w:eastAsia="Arial Unicode MS"/>
                <w:sz w:val="20"/>
                <w:szCs w:val="19"/>
              </w:rPr>
              <w:t>9607</w:t>
            </w:r>
          </w:p>
        </w:tc>
        <w:tc>
          <w:tcPr>
            <w:tcW w:w="7938" w:type="dxa"/>
          </w:tcPr>
          <w:p w:rsidR="009A60A5" w:rsidRPr="00B73B92" w:rsidRDefault="009A60A5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Расходы на обеспечение мероприятий по капитальному ремонту многоквартирных домов, модернизации систем коммунальной инфраструктуры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  <w:lang w:val="en-US"/>
              </w:rPr>
            </w:pPr>
            <w:r w:rsidRPr="00B73B92">
              <w:rPr>
                <w:rFonts w:eastAsia="Arial Unicode MS"/>
                <w:b/>
                <w:sz w:val="19"/>
                <w:szCs w:val="19"/>
                <w:lang w:val="en-US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  <w:lang w:val="en-US"/>
              </w:rPr>
            </w:pPr>
            <w:r w:rsidRPr="00B73B92">
              <w:rPr>
                <w:rFonts w:eastAsia="Arial Unicode MS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  <w:lang w:val="en-US"/>
              </w:rPr>
            </w:pPr>
            <w:r w:rsidRPr="00B73B92">
              <w:rPr>
                <w:rFonts w:eastAsia="Arial Unicode MS"/>
                <w:b/>
                <w:sz w:val="19"/>
                <w:szCs w:val="19"/>
                <w:lang w:val="en-US"/>
              </w:rPr>
              <w:t>F1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  <w:lang w:val="en-US"/>
              </w:rPr>
            </w:pPr>
            <w:r w:rsidRPr="00B73B92">
              <w:rPr>
                <w:rFonts w:eastAsia="Arial Unicode MS"/>
                <w:b/>
                <w:sz w:val="19"/>
                <w:szCs w:val="19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Региональный проект "Жильё"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3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  <w:lang w:val="en-US"/>
              </w:rPr>
            </w:pPr>
            <w:r w:rsidRPr="00B73B92">
              <w:rPr>
                <w:rFonts w:eastAsia="Arial Unicode MS"/>
                <w:sz w:val="20"/>
                <w:szCs w:val="19"/>
                <w:lang w:val="en-US"/>
              </w:rPr>
              <w:t>F1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50212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Расходы на реализацию мероприятий по стимулированию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napToGrid w:val="0"/>
                <w:sz w:val="19"/>
                <w:szCs w:val="19"/>
              </w:rPr>
              <w:t>Подпрограмма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2026 годы"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 xml:space="preserve">06 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Основное мероприятие "Ремонт автомобильных дорог"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4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00130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4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99999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Реализация направления расходов основного мероприятия "Ремонт автомобильных дорог"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4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  <w:lang w:val="en-US"/>
              </w:rPr>
              <w:t>S607</w:t>
            </w:r>
            <w:r w:rsidRPr="00B73B92">
              <w:rPr>
                <w:sz w:val="20"/>
                <w:szCs w:val="19"/>
              </w:rPr>
              <w:t>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ремонта</w:t>
            </w:r>
            <w:proofErr w:type="gramEnd"/>
            <w:r w:rsidRPr="00B73B92">
              <w:rPr>
                <w:rFonts w:ascii="Times New Roman" w:hAnsi="Times New Roman" w:cs="Times New Roman"/>
                <w:sz w:val="20"/>
                <w:szCs w:val="19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Основное мероприятие "Комплекс работ по содержанию автомобильных дорог"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4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04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00130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 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napToGrid w:val="0"/>
                <w:sz w:val="19"/>
                <w:szCs w:val="19"/>
              </w:rPr>
              <w:t>Подпрограмма "Организация в границах сельских поселений электро-, тепл</w:t>
            </w:r>
            <w:proofErr w:type="gramStart"/>
            <w:r w:rsidRPr="00B73B92">
              <w:rPr>
                <w:rFonts w:ascii="Times New Roman" w:hAnsi="Times New Roman" w:cs="Times New Roman"/>
                <w:b/>
                <w:snapToGrid w:val="0"/>
                <w:sz w:val="19"/>
                <w:szCs w:val="19"/>
              </w:rPr>
              <w:t>о-</w:t>
            </w:r>
            <w:proofErr w:type="gramEnd"/>
            <w:r w:rsidRPr="00B73B92">
              <w:rPr>
                <w:rFonts w:ascii="Times New Roman" w:hAnsi="Times New Roman" w:cs="Times New Roman"/>
                <w:b/>
                <w:snapToGrid w:val="0"/>
                <w:sz w:val="19"/>
                <w:szCs w:val="19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2026 годы"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Основное мероприятие "Оформление прав собственности на инженерные сети"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5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03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99999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Реализация направления расходов основного мероприятия "Оформление прав собственности на инженерные сети"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Муниципальная программа </w:t>
            </w:r>
            <w:r w:rsidRPr="00B73B92">
              <w:rPr>
                <w:rFonts w:ascii="Times New Roman" w:hAnsi="Times New Roman" w:cs="Times New Roman"/>
                <w:b/>
                <w:snapToGrid w:val="0"/>
                <w:sz w:val="19"/>
                <w:szCs w:val="19"/>
              </w:rPr>
              <w:t>"Развитие системы образования в Грязинском муниципальном районе Липецкой области на 2020 – 2026 гг."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en-US"/>
              </w:rPr>
            </w:pPr>
            <w:r w:rsidRPr="00B73B92">
              <w:rPr>
                <w:b/>
                <w:sz w:val="19"/>
                <w:szCs w:val="19"/>
                <w:lang w:val="en-US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en-US"/>
              </w:rPr>
            </w:pPr>
            <w:r w:rsidRPr="00B73B9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  <w:lang w:val="en-US"/>
              </w:rPr>
            </w:pPr>
            <w:r w:rsidRPr="00B73B92">
              <w:rPr>
                <w:b/>
                <w:sz w:val="19"/>
                <w:szCs w:val="19"/>
                <w:lang w:val="en-US"/>
              </w:rPr>
              <w:t>00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en-US"/>
              </w:rPr>
            </w:pPr>
            <w:r w:rsidRPr="00B73B92">
              <w:rPr>
                <w:b/>
                <w:sz w:val="19"/>
                <w:szCs w:val="19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Подпрограмма "Ресурсное обеспечение развития образования в Грязинском муниципальном районе Липецкой области в 2020 – 2026 гг."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en-US"/>
              </w:rPr>
            </w:pPr>
            <w:r w:rsidRPr="00B73B9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Основное мероприятие "Развитие системы дошкольного образования"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09000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85040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85350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Расходы на реализацию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en-US"/>
              </w:rPr>
            </w:pPr>
            <w:r w:rsidRPr="00B73B9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Основное мероприятие "Развитие системы общего образования"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02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09000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02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85090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Расходы на реализацию Закона Липецкой области от 19 августа 2008 года № 180-ОЗ "О нормативах финансирования общеобразовательных учреждений"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02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85130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73B92">
              <w:rPr>
                <w:sz w:val="19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B73B92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73B92">
              <w:rPr>
                <w:sz w:val="19"/>
                <w:szCs w:val="19"/>
              </w:rPr>
              <w:t>02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73B92">
              <w:rPr>
                <w:sz w:val="19"/>
                <w:szCs w:val="19"/>
              </w:rPr>
              <w:t>85420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sz w:val="19"/>
                <w:szCs w:val="19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02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99999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Реализация направления расходов основного мероприятия "Развитие системы общего образования"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02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S6560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дополнительного образования"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отдела образования администрации Грязинского муниципального района"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МБУ "Централизованная бухгалтерия учреждений образования Грязинского муниципального района"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"Оплата жилья и коммунальных услуг педагогическим работникам"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85251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организаций"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организаций"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  <w:lang w:val="en-US"/>
              </w:rPr>
              <w:t>S659</w:t>
            </w:r>
            <w:r w:rsidRPr="009205D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7290" w:rsidRPr="004C7290" w:rsidTr="001A0602">
        <w:tc>
          <w:tcPr>
            <w:tcW w:w="517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C7290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C729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C7290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903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C7290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7290" w:rsidRPr="004C7290" w:rsidRDefault="004C729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9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4C7290" w:rsidRPr="00B03579" w:rsidTr="001A0602">
        <w:tc>
          <w:tcPr>
            <w:tcW w:w="517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03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53030</w:t>
            </w:r>
          </w:p>
        </w:tc>
        <w:tc>
          <w:tcPr>
            <w:tcW w:w="7938" w:type="dxa"/>
          </w:tcPr>
          <w:p w:rsidR="004C7290" w:rsidRPr="004C7290" w:rsidRDefault="004C729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B0357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35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B0357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35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B0357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357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917070" w:rsidRPr="00B0357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357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B03579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0357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917070" w:rsidRPr="00B03579" w:rsidTr="001A0602">
        <w:tc>
          <w:tcPr>
            <w:tcW w:w="517" w:type="dxa"/>
          </w:tcPr>
          <w:p w:rsidR="00917070" w:rsidRPr="00AA60E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0E9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AA60E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0E9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AA60E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0E9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917070" w:rsidRPr="00AA60E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0E9">
              <w:rPr>
                <w:sz w:val="20"/>
                <w:szCs w:val="20"/>
                <w:lang w:val="en-US"/>
              </w:rPr>
              <w:t>R</w:t>
            </w:r>
            <w:r w:rsidRPr="00AA60E9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917070" w:rsidRPr="00B03579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0E9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17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  <w:lang w:val="en-US"/>
              </w:rPr>
              <w:t>S</w:t>
            </w:r>
            <w:r w:rsidRPr="009205DB">
              <w:rPr>
                <w:sz w:val="20"/>
                <w:szCs w:val="20"/>
              </w:rPr>
              <w:t>6310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безбарьерной</w:t>
            </w:r>
            <w:proofErr w:type="spellEnd"/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  <w:r w:rsidRPr="009205D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S</w:t>
            </w:r>
            <w:r w:rsidRPr="009205DB">
              <w:rPr>
                <w:sz w:val="20"/>
                <w:szCs w:val="20"/>
              </w:rPr>
              <w:t>6</w:t>
            </w:r>
            <w:r w:rsidRPr="009205DB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9205DB">
              <w:rPr>
                <w:rFonts w:ascii="Times New Roman" w:hAnsi="Times New Roman" w:cs="Times New Roman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S6880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требований пожарной безопасности образовательных организаций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865B43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5B4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865B43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5B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865B43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5B4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3" w:type="dxa"/>
          </w:tcPr>
          <w:p w:rsidR="00917070" w:rsidRPr="00865B43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5B4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865B43" w:rsidRDefault="00816BFE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"Реализация мероприятий, направленных на обеспечение </w:t>
            </w:r>
            <w:r w:rsidRPr="00816B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бесплатным горячим питанием детей участников специальной военной операции, обучающихся по программам основного общего и среднего общего образования"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22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85460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 xml:space="preserve">07 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"Успех каждого ребенка"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509</w:t>
            </w:r>
            <w:r w:rsidRPr="009205DB">
              <w:rPr>
                <w:sz w:val="20"/>
                <w:szCs w:val="20"/>
              </w:rPr>
              <w:t>8</w:t>
            </w:r>
            <w:r w:rsidRPr="009205D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BD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B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BD9">
              <w:rPr>
                <w:b/>
                <w:sz w:val="20"/>
                <w:szCs w:val="20"/>
                <w:lang w:val="en-US"/>
              </w:rPr>
              <w:t>E</w:t>
            </w:r>
            <w:r w:rsidRPr="004E7BD9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03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BD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4E7BD9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b/>
                <w:sz w:val="20"/>
              </w:rPr>
              <w:t>Региональн</w:t>
            </w:r>
            <w:r>
              <w:rPr>
                <w:rFonts w:ascii="Times New Roman" w:hAnsi="Times New Roman" w:cs="Times New Roman"/>
                <w:b/>
                <w:sz w:val="20"/>
              </w:rPr>
              <w:t>ый</w:t>
            </w:r>
            <w:r w:rsidRPr="004E7BD9">
              <w:rPr>
                <w:rFonts w:ascii="Times New Roman" w:hAnsi="Times New Roman" w:cs="Times New Roman"/>
                <w:b/>
                <w:sz w:val="20"/>
              </w:rPr>
              <w:t xml:space="preserve"> проект "Патриотическое воспитание граждан Российской Федерации"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BD9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BD9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BD9">
              <w:rPr>
                <w:sz w:val="20"/>
                <w:szCs w:val="20"/>
                <w:lang w:val="en-US"/>
              </w:rPr>
              <w:t>E</w:t>
            </w:r>
            <w:r w:rsidRPr="004E7BD9">
              <w:rPr>
                <w:sz w:val="20"/>
                <w:szCs w:val="20"/>
              </w:rPr>
              <w:t>В</w:t>
            </w:r>
          </w:p>
        </w:tc>
        <w:tc>
          <w:tcPr>
            <w:tcW w:w="903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BD9">
              <w:rPr>
                <w:sz w:val="20"/>
                <w:szCs w:val="20"/>
              </w:rPr>
              <w:t>51790</w:t>
            </w:r>
          </w:p>
        </w:tc>
        <w:tc>
          <w:tcPr>
            <w:tcW w:w="7938" w:type="dxa"/>
          </w:tcPr>
          <w:p w:rsidR="00917070" w:rsidRPr="004E7BD9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"Реализация мер по обучению, воспитанию, содержанию детей-сирот и детей, оставшихся без попечения родителей, и психолого-педагогическая помощь детям в Грязинском муниципальном районе Липецкой области в 2020 – 2026 гг."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"Исполнение переданных государственных полномочий по осуществлению деятельности по опеке и попечительству"</w:t>
            </w:r>
          </w:p>
        </w:tc>
      </w:tr>
      <w:tr w:rsidR="00917070" w:rsidRPr="00AA60E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85430</w:t>
            </w:r>
          </w:p>
        </w:tc>
        <w:tc>
          <w:tcPr>
            <w:tcW w:w="7938" w:type="dxa"/>
          </w:tcPr>
          <w:p w:rsidR="00917070" w:rsidRPr="00AA60E9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85440</w:t>
            </w:r>
          </w:p>
        </w:tc>
        <w:tc>
          <w:tcPr>
            <w:tcW w:w="7938" w:type="dxa"/>
          </w:tcPr>
          <w:p w:rsidR="00917070" w:rsidRPr="00B03579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</w:tr>
      <w:tr w:rsidR="00917070" w:rsidRPr="009205DB" w:rsidTr="001A0602">
        <w:trPr>
          <w:trHeight w:val="275"/>
        </w:trPr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и ремонт жилья детям-сиротам"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85450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5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родителей, на ремонт жилого помещения</w:t>
            </w:r>
            <w:proofErr w:type="gramEnd"/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"Отдых и оздоровление детей в Грязинском муниципальном районе Липецкой области в 2020 – 2026 гг."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отдыха и оздоровления детей в каникулярное время"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"Профилактика терроризма и экстремизма, а также минимизация и (или) ликвидация последствий их проявлений на территории Грязинского муниципального района на 2022 – 2026 годы"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"Профилактика терроризма, а также минимизация и (или) ликвидация последствий его проявлений на территории Грязинского муниципального района"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</w:t>
            </w:r>
            <w:r w:rsidRPr="009205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</w:t>
            </w:r>
            <w:r w:rsidRPr="009205DB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в технически исправном состоянии и абонентская плата за доступ в VPN средств наблюдения и фиксации системы "Безопасный город"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"Поддержание в технически исправном состоянии и абонентская плата за доступ в сеть VPN средств видеонаблюдения и фиксации системы "Безопасный город"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B03579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"Реализация мер по предупреждению экстремистской деятельности, </w:t>
            </w: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минимизация и (или) ликвидации проявлений экстремизма на территории Грязинского муниципального района"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lastRenderedPageBreak/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</w:t>
            </w: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B03579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9A60A5" w:rsidRPr="009A60A5" w:rsidTr="001A0602">
        <w:tc>
          <w:tcPr>
            <w:tcW w:w="517" w:type="dxa"/>
          </w:tcPr>
          <w:p w:rsidR="009A60A5" w:rsidRPr="009A60A5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A60A5" w:rsidRPr="009A60A5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A60A5" w:rsidRPr="009A60A5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A60A5" w:rsidRPr="009A60A5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00016</w:t>
            </w:r>
          </w:p>
        </w:tc>
        <w:tc>
          <w:tcPr>
            <w:tcW w:w="7938" w:type="dxa"/>
          </w:tcPr>
          <w:p w:rsidR="009A60A5" w:rsidRPr="009A60A5" w:rsidRDefault="009A60A5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Возмещение судебных расходов по исполнительным листам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внешнего муниципального финансового контроля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00020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</w:tbl>
    <w:p w:rsidR="00CF63E9" w:rsidRPr="005476C9" w:rsidRDefault="00CF63E9" w:rsidP="00CF63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63A48" w:rsidRDefault="00C63A48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Н</w:t>
      </w:r>
      <w:r w:rsidRPr="00BA7A3B">
        <w:rPr>
          <w:sz w:val="28"/>
        </w:rPr>
        <w:t xml:space="preserve">ачальник управления финансов      </w:t>
      </w:r>
    </w:p>
    <w:p w:rsidR="0094145B" w:rsidRPr="00BA7A3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администрации района</w:t>
      </w:r>
      <w:r w:rsidRPr="00BA7A3B">
        <w:rPr>
          <w:sz w:val="28"/>
        </w:rPr>
        <w:t xml:space="preserve">       </w:t>
      </w:r>
      <w:r>
        <w:rPr>
          <w:sz w:val="28"/>
        </w:rPr>
        <w:t xml:space="preserve">                             </w:t>
      </w:r>
      <w:r w:rsidRPr="00BA7A3B"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 w:rsidRPr="00BA7A3B">
        <w:rPr>
          <w:sz w:val="28"/>
        </w:rPr>
        <w:t xml:space="preserve">  </w:t>
      </w:r>
      <w:r>
        <w:rPr>
          <w:sz w:val="28"/>
        </w:rPr>
        <w:t>И.Н. Муратова</w:t>
      </w:r>
    </w:p>
    <w:p w:rsidR="0094145B" w:rsidRDefault="0094145B"/>
    <w:sectPr w:rsidR="0094145B" w:rsidSect="00CF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9754D1"/>
    <w:multiLevelType w:val="hybridMultilevel"/>
    <w:tmpl w:val="793EA4BC"/>
    <w:lvl w:ilvl="0" w:tplc="8CF65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3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598D"/>
    <w:multiLevelType w:val="hybridMultilevel"/>
    <w:tmpl w:val="C67C16F4"/>
    <w:lvl w:ilvl="0" w:tplc="42367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928FB"/>
    <w:multiLevelType w:val="hybridMultilevel"/>
    <w:tmpl w:val="A82412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5B02"/>
    <w:multiLevelType w:val="hybridMultilevel"/>
    <w:tmpl w:val="A5E4C80C"/>
    <w:lvl w:ilvl="0" w:tplc="F16A14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54318"/>
    <w:multiLevelType w:val="multilevel"/>
    <w:tmpl w:val="6E2E3F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520B73"/>
    <w:multiLevelType w:val="hybridMultilevel"/>
    <w:tmpl w:val="D7C2F026"/>
    <w:lvl w:ilvl="0" w:tplc="A80A20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95205"/>
    <w:multiLevelType w:val="hybridMultilevel"/>
    <w:tmpl w:val="C33A3EF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3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A723C7"/>
    <w:multiLevelType w:val="hybridMultilevel"/>
    <w:tmpl w:val="7410E8A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33A7691"/>
    <w:multiLevelType w:val="hybridMultilevel"/>
    <w:tmpl w:val="C5FE1AB8"/>
    <w:lvl w:ilvl="0" w:tplc="05668C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16"/>
  </w:num>
  <w:num w:numId="5">
    <w:abstractNumId w:val="0"/>
  </w:num>
  <w:num w:numId="6">
    <w:abstractNumId w:val="15"/>
  </w:num>
  <w:num w:numId="7">
    <w:abstractNumId w:val="20"/>
  </w:num>
  <w:num w:numId="8">
    <w:abstractNumId w:val="27"/>
  </w:num>
  <w:num w:numId="9">
    <w:abstractNumId w:val="19"/>
  </w:num>
  <w:num w:numId="10">
    <w:abstractNumId w:val="21"/>
  </w:num>
  <w:num w:numId="11">
    <w:abstractNumId w:val="3"/>
  </w:num>
  <w:num w:numId="12">
    <w:abstractNumId w:val="11"/>
  </w:num>
  <w:num w:numId="13">
    <w:abstractNumId w:val="7"/>
  </w:num>
  <w:num w:numId="14">
    <w:abstractNumId w:val="25"/>
  </w:num>
  <w:num w:numId="15">
    <w:abstractNumId w:val="28"/>
  </w:num>
  <w:num w:numId="16">
    <w:abstractNumId w:val="10"/>
  </w:num>
  <w:num w:numId="17">
    <w:abstractNumId w:val="17"/>
  </w:num>
  <w:num w:numId="18">
    <w:abstractNumId w:val="6"/>
  </w:num>
  <w:num w:numId="19">
    <w:abstractNumId w:val="9"/>
  </w:num>
  <w:num w:numId="20">
    <w:abstractNumId w:val="14"/>
  </w:num>
  <w:num w:numId="21">
    <w:abstractNumId w:val="2"/>
  </w:num>
  <w:num w:numId="22">
    <w:abstractNumId w:val="18"/>
  </w:num>
  <w:num w:numId="23">
    <w:abstractNumId w:val="23"/>
  </w:num>
  <w:num w:numId="24">
    <w:abstractNumId w:val="4"/>
  </w:num>
  <w:num w:numId="25">
    <w:abstractNumId w:val="8"/>
  </w:num>
  <w:num w:numId="26">
    <w:abstractNumId w:val="26"/>
  </w:num>
  <w:num w:numId="27">
    <w:abstractNumId w:val="24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21FA5"/>
    <w:rsid w:val="000E2098"/>
    <w:rsid w:val="000E2E5D"/>
    <w:rsid w:val="00156DB0"/>
    <w:rsid w:val="0016679B"/>
    <w:rsid w:val="001A0602"/>
    <w:rsid w:val="00212843"/>
    <w:rsid w:val="00232124"/>
    <w:rsid w:val="00283834"/>
    <w:rsid w:val="004C2B4B"/>
    <w:rsid w:val="004C7290"/>
    <w:rsid w:val="004E7BD9"/>
    <w:rsid w:val="004F4FB5"/>
    <w:rsid w:val="00515912"/>
    <w:rsid w:val="00517059"/>
    <w:rsid w:val="005476C9"/>
    <w:rsid w:val="005F2CBB"/>
    <w:rsid w:val="006009C1"/>
    <w:rsid w:val="006569AB"/>
    <w:rsid w:val="007119D9"/>
    <w:rsid w:val="00747ABC"/>
    <w:rsid w:val="00750F10"/>
    <w:rsid w:val="00816BFE"/>
    <w:rsid w:val="00877190"/>
    <w:rsid w:val="00887AA1"/>
    <w:rsid w:val="008F69F1"/>
    <w:rsid w:val="00917070"/>
    <w:rsid w:val="0094145B"/>
    <w:rsid w:val="00952385"/>
    <w:rsid w:val="009A60A5"/>
    <w:rsid w:val="00A24909"/>
    <w:rsid w:val="00AE548E"/>
    <w:rsid w:val="00B7284D"/>
    <w:rsid w:val="00B73B92"/>
    <w:rsid w:val="00C42A90"/>
    <w:rsid w:val="00C617FB"/>
    <w:rsid w:val="00C63A48"/>
    <w:rsid w:val="00CA6DF2"/>
    <w:rsid w:val="00CE5248"/>
    <w:rsid w:val="00CF63E9"/>
    <w:rsid w:val="00D5293A"/>
    <w:rsid w:val="00E56934"/>
    <w:rsid w:val="00F12DA6"/>
    <w:rsid w:val="00F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79C5FDA01B1182F2F9DE0CD9EDB264A6EC33D78219DC1DB99980F08E9C2679496F6B613ACE50BC6D82HDM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6F79C5FDA01B1182F2F9DE0CD9EDB264A6EC33D78219DC1DB99980F08E9C2679496F6B613ACE50BC6387HDM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7296</Words>
  <Characters>41589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2023-03-17T10:22:00Z</cp:lastPrinted>
  <dcterms:created xsi:type="dcterms:W3CDTF">2021-02-17T07:49:00Z</dcterms:created>
  <dcterms:modified xsi:type="dcterms:W3CDTF">2023-03-17T10:25:00Z</dcterms:modified>
</cp:coreProperties>
</file>