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C42A90" w:rsidP="00C42A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02.03.2021</w:t>
            </w:r>
            <w:r w:rsidRPr="000A3A9D">
              <w:rPr>
                <w:sz w:val="28"/>
                <w:szCs w:val="28"/>
              </w:rPr>
              <w:t xml:space="preserve"> года </w:t>
            </w:r>
            <w:r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C42A90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747ABC">
              <w:rPr>
                <w:sz w:val="28"/>
                <w:szCs w:val="28"/>
              </w:rPr>
              <w:t>14</w:t>
            </w:r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21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20</w:t>
      </w:r>
      <w:r w:rsidRPr="00677C63">
        <w:rPr>
          <w:szCs w:val="28"/>
        </w:rPr>
        <w:t xml:space="preserve"> года № </w:t>
      </w:r>
      <w:r>
        <w:rPr>
          <w:szCs w:val="28"/>
        </w:rPr>
        <w:t>79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</w:t>
      </w:r>
      <w:bookmarkStart w:id="0" w:name="_GoBack"/>
      <w:bookmarkEnd w:id="0"/>
      <w:r w:rsidRPr="00677C63">
        <w:rPr>
          <w:szCs w:val="28"/>
        </w:rPr>
        <w:t>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47ABC">
        <w:t>1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20</w:t>
      </w:r>
      <w:r w:rsidRPr="00677C63">
        <w:t xml:space="preserve"> года № </w:t>
      </w:r>
      <w:r w:rsidR="00747ABC">
        <w:t>79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C42A90" w:rsidRDefault="00C42A90" w:rsidP="00C42A90">
      <w:pPr>
        <w:ind w:firstLine="708"/>
        <w:jc w:val="both"/>
        <w:rPr>
          <w:sz w:val="22"/>
        </w:rPr>
      </w:pPr>
      <w:r>
        <w:t xml:space="preserve">1. В разделе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sz w:val="22"/>
        </w:rPr>
        <w:t>":</w:t>
      </w:r>
    </w:p>
    <w:p w:rsidR="00747ABC" w:rsidRDefault="00747ABC" w:rsidP="00C42A90">
      <w:pPr>
        <w:ind w:firstLine="708"/>
        <w:jc w:val="both"/>
        <w:rPr>
          <w:sz w:val="22"/>
        </w:rPr>
      </w:pPr>
    </w:p>
    <w:p w:rsidR="005476C9" w:rsidRDefault="007119D9" w:rsidP="005476C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sz w:val="22"/>
        </w:rPr>
        <w:t xml:space="preserve">1) </w:t>
      </w:r>
      <w:r>
        <w:t>целевую статью</w:t>
      </w:r>
      <w:r w:rsidR="005476C9">
        <w:t xml:space="preserve"> "</w:t>
      </w:r>
      <w:r w:rsidR="005476C9" w:rsidRPr="00F12239">
        <w:rPr>
          <w:szCs w:val="28"/>
        </w:rPr>
        <w:t xml:space="preserve">05 2 00 00000 </w:t>
      </w:r>
      <w:r w:rsidR="005476C9" w:rsidRPr="00F12239">
        <w:rPr>
          <w:snapToGrid w:val="0"/>
          <w:szCs w:val="28"/>
        </w:rPr>
        <w:t xml:space="preserve">Подпрограмма </w:t>
      </w:r>
      <w:r w:rsidR="005476C9">
        <w:rPr>
          <w:snapToGrid w:val="0"/>
          <w:szCs w:val="28"/>
        </w:rPr>
        <w:t>"</w:t>
      </w:r>
      <w:r w:rsidR="005476C9" w:rsidRPr="00F12239">
        <w:rPr>
          <w:snapToGrid w:val="0"/>
          <w:szCs w:val="28"/>
        </w:rPr>
        <w:t xml:space="preserve"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</w:t>
      </w:r>
      <w:r w:rsidR="005476C9">
        <w:rPr>
          <w:snapToGrid w:val="0"/>
          <w:szCs w:val="28"/>
        </w:rPr>
        <w:t>2024</w:t>
      </w:r>
      <w:r w:rsidR="005476C9" w:rsidRPr="00F12239">
        <w:rPr>
          <w:snapToGrid w:val="0"/>
          <w:szCs w:val="28"/>
        </w:rPr>
        <w:t xml:space="preserve"> годы</w:t>
      </w:r>
      <w:r w:rsidR="005476C9">
        <w:rPr>
          <w:snapToGrid w:val="0"/>
          <w:szCs w:val="28"/>
        </w:rPr>
        <w:t xml:space="preserve">" </w:t>
      </w:r>
      <w:r w:rsidR="005476C9"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:rsidR="005476C9" w:rsidRDefault="005476C9" w:rsidP="005476C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outlineLvl w:val="2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>05 2 0</w:t>
      </w:r>
      <w:r>
        <w:rPr>
          <w:szCs w:val="28"/>
        </w:rPr>
        <w:t>6</w:t>
      </w:r>
      <w:r w:rsidRPr="00F12239">
        <w:rPr>
          <w:szCs w:val="28"/>
        </w:rPr>
        <w:t xml:space="preserve"> 00000 Основное мероприятие </w:t>
      </w:r>
      <w:r w:rsidRPr="005476C9">
        <w:rPr>
          <w:rFonts w:eastAsiaTheme="minorHAnsi"/>
          <w:szCs w:val="20"/>
          <w:lang w:eastAsia="en-US"/>
        </w:rPr>
        <w:t>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</w:r>
    </w:p>
    <w:p w:rsidR="007119D9" w:rsidRDefault="007119D9" w:rsidP="007119D9">
      <w:pPr>
        <w:jc w:val="both"/>
        <w:rPr>
          <w:sz w:val="22"/>
        </w:rPr>
      </w:pPr>
    </w:p>
    <w:p w:rsidR="00887AA1" w:rsidRDefault="007119D9" w:rsidP="007119D9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t>2</w:t>
      </w:r>
      <w:r w:rsidR="00C42A90">
        <w:t xml:space="preserve">) </w:t>
      </w:r>
      <w:r w:rsidR="00887AA1">
        <w:t>целевую статью "</w:t>
      </w:r>
      <w:r w:rsidR="00887AA1" w:rsidRPr="00F12239">
        <w:rPr>
          <w:szCs w:val="28"/>
        </w:rPr>
        <w:t xml:space="preserve">06 4 00 00000 </w:t>
      </w:r>
      <w:r w:rsidR="00887AA1" w:rsidRPr="00F12239">
        <w:rPr>
          <w:snapToGrid w:val="0"/>
          <w:szCs w:val="28"/>
        </w:rPr>
        <w:t xml:space="preserve">Подпрограмма </w:t>
      </w:r>
      <w:r w:rsidR="00887AA1">
        <w:rPr>
          <w:snapToGrid w:val="0"/>
          <w:szCs w:val="28"/>
        </w:rPr>
        <w:t>"</w:t>
      </w:r>
      <w:r w:rsidR="00887AA1" w:rsidRPr="00F12239">
        <w:rPr>
          <w:snapToGrid w:val="0"/>
          <w:szCs w:val="28"/>
        </w:rPr>
        <w:t xml:space="preserve"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</w:t>
      </w:r>
      <w:r w:rsidR="00887AA1">
        <w:rPr>
          <w:snapToGrid w:val="0"/>
          <w:szCs w:val="28"/>
        </w:rPr>
        <w:t>2024</w:t>
      </w:r>
      <w:r w:rsidR="00887AA1" w:rsidRPr="00F12239">
        <w:rPr>
          <w:snapToGrid w:val="0"/>
          <w:szCs w:val="28"/>
        </w:rPr>
        <w:t xml:space="preserve"> годы</w:t>
      </w:r>
      <w:r w:rsidR="00887AA1">
        <w:rPr>
          <w:snapToGrid w:val="0"/>
          <w:szCs w:val="28"/>
        </w:rPr>
        <w:t>" изложить в следующей редакции:</w:t>
      </w:r>
    </w:p>
    <w:p w:rsidR="00887AA1" w:rsidRPr="00F12239" w:rsidRDefault="00887AA1" w:rsidP="00887AA1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06 4 00 00000 </w:t>
      </w:r>
      <w:r w:rsidRPr="00F12239">
        <w:rPr>
          <w:snapToGrid w:val="0"/>
          <w:szCs w:val="28"/>
        </w:rPr>
        <w:t xml:space="preserve">Подпрограмма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:rsidR="00887AA1" w:rsidRDefault="00887AA1" w:rsidP="00887AA1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887AA1" w:rsidRDefault="00887AA1" w:rsidP="00887AA1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06 4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Ремонт автомобильных дорог</w:t>
      </w:r>
      <w:r>
        <w:rPr>
          <w:szCs w:val="28"/>
        </w:rPr>
        <w:t>"</w:t>
      </w:r>
    </w:p>
    <w:p w:rsidR="00887AA1" w:rsidRDefault="00887AA1" w:rsidP="00CA6DF2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06 4 03 00000 </w:t>
      </w:r>
      <w:r w:rsidRPr="00887AA1">
        <w:rPr>
          <w:szCs w:val="28"/>
        </w:rPr>
        <w:t>Основное мероприятие "Технический контроль качества, экспертиза качества, осуществляемые в дорожной деятельности"</w:t>
      </w:r>
    </w:p>
    <w:p w:rsidR="00887AA1" w:rsidRDefault="00887AA1" w:rsidP="00887AA1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06 4 04 00000 </w:t>
      </w:r>
      <w:r w:rsidRPr="00A224E1">
        <w:rPr>
          <w:szCs w:val="28"/>
        </w:rPr>
        <w:t>Основное мероприятие "Комплекс работ по содержанию автомобильных дорог"</w:t>
      </w:r>
    </w:p>
    <w:p w:rsidR="00887AA1" w:rsidRDefault="00887AA1" w:rsidP="00887AA1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887AA1" w:rsidRDefault="00887AA1" w:rsidP="007119D9">
      <w:pPr>
        <w:autoSpaceDE w:val="0"/>
        <w:autoSpaceDN w:val="0"/>
        <w:adjustRightInd w:val="0"/>
        <w:jc w:val="both"/>
      </w:pPr>
    </w:p>
    <w:p w:rsidR="007119D9" w:rsidRDefault="00887AA1" w:rsidP="007119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lastRenderedPageBreak/>
        <w:t xml:space="preserve">3) </w:t>
      </w:r>
      <w:r w:rsidR="00C42A90">
        <w:t xml:space="preserve">целевую статью "07 1 00 00000 </w:t>
      </w:r>
      <w:r w:rsidR="00C42A90" w:rsidRPr="00E9118D">
        <w:rPr>
          <w:szCs w:val="28"/>
        </w:rPr>
        <w:t xml:space="preserve">Подпрограмма </w:t>
      </w:r>
      <w:r w:rsidR="00C42A90">
        <w:rPr>
          <w:szCs w:val="28"/>
        </w:rPr>
        <w:t>"</w:t>
      </w:r>
      <w:r w:rsidR="00C42A90"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 w:rsidR="00C42A90">
        <w:rPr>
          <w:szCs w:val="28"/>
        </w:rPr>
        <w:t>"</w:t>
      </w:r>
      <w:r w:rsidR="007119D9">
        <w:rPr>
          <w:szCs w:val="28"/>
        </w:rPr>
        <w:t xml:space="preserve"> </w:t>
      </w:r>
      <w:r w:rsidR="007119D9" w:rsidRPr="007119D9">
        <w:rPr>
          <w:rFonts w:eastAsiaTheme="minorHAnsi"/>
          <w:szCs w:val="20"/>
          <w:lang w:eastAsia="en-US"/>
        </w:rPr>
        <w:t>изложить в следующей редакции:</w:t>
      </w:r>
    </w:p>
    <w:p w:rsidR="007119D9" w:rsidRPr="00F12239" w:rsidRDefault="007119D9" w:rsidP="007119D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rFonts w:eastAsiaTheme="minorHAnsi"/>
          <w:szCs w:val="20"/>
          <w:lang w:eastAsia="en-US"/>
        </w:rPr>
        <w:t>"</w:t>
      </w:r>
      <w:r>
        <w:rPr>
          <w:szCs w:val="28"/>
        </w:rPr>
        <w:t xml:space="preserve">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>
        <w:rPr>
          <w:szCs w:val="28"/>
        </w:rPr>
        <w:t>"</w:t>
      </w:r>
    </w:p>
    <w:p w:rsidR="007119D9" w:rsidRPr="00F12239" w:rsidRDefault="007119D9" w:rsidP="007119D9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07 </w:t>
      </w:r>
      <w:r>
        <w:rPr>
          <w:szCs w:val="28"/>
        </w:rPr>
        <w:t>1</w:t>
      </w:r>
      <w:r w:rsidRPr="00F12239">
        <w:rPr>
          <w:szCs w:val="28"/>
        </w:rPr>
        <w:t xml:space="preserve">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Развитие системы дошкольного образования</w:t>
      </w:r>
      <w:r>
        <w:rPr>
          <w:szCs w:val="28"/>
        </w:rPr>
        <w:t>"</w:t>
      </w:r>
    </w:p>
    <w:p w:rsid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07 </w:t>
      </w:r>
      <w:r>
        <w:rPr>
          <w:szCs w:val="28"/>
        </w:rPr>
        <w:t>1</w:t>
      </w:r>
      <w:r w:rsidRPr="00F12239">
        <w:rPr>
          <w:szCs w:val="28"/>
        </w:rPr>
        <w:t xml:space="preserve"> 02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Развитие системы общего образования</w:t>
      </w:r>
      <w:r>
        <w:rPr>
          <w:szCs w:val="28"/>
        </w:rPr>
        <w:t>"</w:t>
      </w:r>
    </w:p>
    <w:p w:rsid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07 </w:t>
      </w:r>
      <w:r>
        <w:rPr>
          <w:szCs w:val="28"/>
        </w:rPr>
        <w:t>1</w:t>
      </w:r>
      <w:r w:rsidRPr="00F12239">
        <w:rPr>
          <w:szCs w:val="28"/>
        </w:rPr>
        <w:t xml:space="preserve"> 03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Развитие системы дополнительного образования</w:t>
      </w:r>
      <w:r>
        <w:rPr>
          <w:szCs w:val="28"/>
        </w:rPr>
        <w:t>"</w:t>
      </w:r>
    </w:p>
    <w:p w:rsid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07 </w:t>
      </w:r>
      <w:r>
        <w:rPr>
          <w:szCs w:val="28"/>
        </w:rPr>
        <w:t>1</w:t>
      </w:r>
      <w:r w:rsidRPr="00F12239">
        <w:rPr>
          <w:szCs w:val="28"/>
        </w:rPr>
        <w:t xml:space="preserve"> 05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Содержание аппарата отдела образования администрации Грязинского муниципального района</w:t>
      </w:r>
      <w:r>
        <w:rPr>
          <w:szCs w:val="28"/>
        </w:rPr>
        <w:t>"</w:t>
      </w:r>
    </w:p>
    <w:p w:rsid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07 </w:t>
      </w:r>
      <w:r>
        <w:rPr>
          <w:szCs w:val="28"/>
        </w:rPr>
        <w:t>1</w:t>
      </w:r>
      <w:r w:rsidRPr="00F12239">
        <w:rPr>
          <w:szCs w:val="28"/>
        </w:rPr>
        <w:t xml:space="preserve"> 06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Содержание аппарата МБУ </w:t>
      </w:r>
      <w:r>
        <w:rPr>
          <w:szCs w:val="28"/>
        </w:rPr>
        <w:t>"</w:t>
      </w:r>
      <w:r w:rsidRPr="00F12239">
        <w:rPr>
          <w:szCs w:val="28"/>
        </w:rPr>
        <w:t>Централизованная бухгалтерия учреждений образования Грязинского муниципального района</w:t>
      </w:r>
      <w:r>
        <w:rPr>
          <w:szCs w:val="28"/>
        </w:rPr>
        <w:t>"</w:t>
      </w:r>
    </w:p>
    <w:p w:rsid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07 </w:t>
      </w:r>
      <w:r>
        <w:rPr>
          <w:szCs w:val="28"/>
        </w:rPr>
        <w:t>1</w:t>
      </w:r>
      <w:r w:rsidRPr="00F12239">
        <w:rPr>
          <w:szCs w:val="28"/>
        </w:rPr>
        <w:t xml:space="preserve"> 08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Оплата жилья и коммунальных услуг педагогическим работникам</w:t>
      </w:r>
      <w:r>
        <w:rPr>
          <w:szCs w:val="28"/>
        </w:rPr>
        <w:t>"</w:t>
      </w:r>
    </w:p>
    <w:p w:rsidR="007119D9" w:rsidRDefault="007119D9" w:rsidP="00CA6DF2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07 1 11 00000 </w:t>
      </w:r>
      <w:r w:rsidRPr="007119D9">
        <w:rPr>
          <w:szCs w:val="28"/>
        </w:rPr>
        <w:t>Основное мероприятие "Достижение наилучших значений показателей качества и платежеспособности района"</w:t>
      </w:r>
    </w:p>
    <w:p w:rsid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rPr>
          <w:szCs w:val="28"/>
        </w:rPr>
        <w:t xml:space="preserve">07 </w:t>
      </w:r>
      <w:r>
        <w:rPr>
          <w:szCs w:val="28"/>
        </w:rPr>
        <w:t>1</w:t>
      </w:r>
      <w:r w:rsidRPr="00F12239">
        <w:rPr>
          <w:szCs w:val="28"/>
        </w:rPr>
        <w:t xml:space="preserve"> 12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Повышение квалификации педагогических работников муниципальных образовательных организаций</w:t>
      </w:r>
      <w:r>
        <w:rPr>
          <w:szCs w:val="28"/>
        </w:rPr>
        <w:t>"</w:t>
      </w:r>
    </w:p>
    <w:p w:rsidR="007119D9" w:rsidRPr="007119D9" w:rsidRDefault="007119D9" w:rsidP="007119D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F12239">
        <w:t xml:space="preserve">07 </w:t>
      </w:r>
      <w:r>
        <w:t>1</w:t>
      </w:r>
      <w:r w:rsidRPr="00F12239">
        <w:t xml:space="preserve"> 13 00000 Основное мероприятие </w:t>
      </w:r>
      <w:r>
        <w:t>"</w:t>
      </w:r>
      <w:r w:rsidRPr="00F12239">
        <w:t>Реализация мероприятий, направленных на выполнение требований антитеррористической защищенности общеобразовательных организаций</w:t>
      </w:r>
      <w:r>
        <w:t>"</w:t>
      </w:r>
    </w:p>
    <w:p w:rsidR="007119D9" w:rsidRPr="007119D9" w:rsidRDefault="007119D9" w:rsidP="00CA6DF2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t xml:space="preserve">07 1 14 00000 </w:t>
      </w:r>
      <w:r w:rsidRPr="007119D9">
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:rsidR="007119D9" w:rsidRPr="00A676C9" w:rsidRDefault="007119D9" w:rsidP="00CA6DF2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proofErr w:type="gramStart"/>
      <w:r w:rsidRPr="005D3521">
        <w:rPr>
          <w:szCs w:val="28"/>
        </w:rPr>
        <w:t>07 1 16 00000 Основное мероприятие "Организация бесплатного горячего питания обучающихся, получающих начальное общее образование в муниципальных образовательн</w:t>
      </w:r>
      <w:r>
        <w:rPr>
          <w:szCs w:val="28"/>
        </w:rPr>
        <w:t>ых организациях"</w:t>
      </w:r>
      <w:proofErr w:type="gramEnd"/>
    </w:p>
    <w:p w:rsidR="007119D9" w:rsidRPr="007119D9" w:rsidRDefault="007119D9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5476C9" w:rsidRDefault="005476C9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476C9">
        <w:t xml:space="preserve">2. </w:t>
      </w:r>
      <w:r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>
        <w:t xml:space="preserve">дополнить </w:t>
      </w:r>
      <w:r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5476C9">
        <w:rPr>
          <w:rFonts w:eastAsiaTheme="minorHAnsi"/>
          <w:szCs w:val="20"/>
          <w:lang w:eastAsia="en-US"/>
        </w:rPr>
        <w:t>"53030</w:t>
      </w:r>
      <w:proofErr w:type="gramStart"/>
      <w:r>
        <w:rPr>
          <w:rFonts w:eastAsiaTheme="minorHAnsi"/>
          <w:szCs w:val="20"/>
          <w:lang w:eastAsia="en-US"/>
        </w:rPr>
        <w:t xml:space="preserve"> </w:t>
      </w:r>
      <w:r w:rsidRPr="005476C9">
        <w:rPr>
          <w:rFonts w:eastAsiaTheme="minorHAnsi"/>
          <w:szCs w:val="20"/>
          <w:lang w:eastAsia="en-US"/>
        </w:rPr>
        <w:t>И</w:t>
      </w:r>
      <w:proofErr w:type="gramEnd"/>
      <w:r w:rsidRPr="005476C9">
        <w:rPr>
          <w:rFonts w:eastAsiaTheme="minorHAnsi"/>
          <w:szCs w:val="20"/>
          <w:lang w:eastAsia="en-US"/>
        </w:rPr>
        <w:t>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</w:p>
    <w:p w:rsidR="00C617FB" w:rsidRPr="005D3521" w:rsidRDefault="00C617FB" w:rsidP="00C617F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0"/>
          <w:lang w:eastAsia="en-US"/>
        </w:rPr>
      </w:pP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бюджета, источником финансового обеспечения которых являются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иной 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>межбюджетны</w:t>
      </w:r>
      <w:r>
        <w:rPr>
          <w:rFonts w:ascii="Times New Roman" w:hAnsi="Times New Roman" w:cs="Times New Roman"/>
          <w:sz w:val="24"/>
          <w:szCs w:val="20"/>
          <w:lang w:eastAsia="en-US"/>
        </w:rPr>
        <w:t>й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трансферт, предоставляемые из </w:t>
      </w:r>
      <w:r>
        <w:rPr>
          <w:rFonts w:ascii="Times New Roman" w:hAnsi="Times New Roman" w:cs="Times New Roman"/>
          <w:sz w:val="24"/>
          <w:szCs w:val="20"/>
          <w:lang w:eastAsia="en-US"/>
        </w:rPr>
        <w:t xml:space="preserve">федерального 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>бюджета на ежемесячно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денежно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0"/>
          <w:lang w:eastAsia="en-US"/>
        </w:rPr>
        <w:t>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 за классное руководство педагогическим работникам муниципальных </w:t>
      </w:r>
      <w:r>
        <w:rPr>
          <w:rFonts w:ascii="Times New Roman" w:hAnsi="Times New Roman" w:cs="Times New Roman"/>
          <w:sz w:val="24"/>
          <w:szCs w:val="20"/>
          <w:lang w:eastAsia="en-US"/>
        </w:rPr>
        <w:t>обще</w:t>
      </w:r>
      <w:r w:rsidRPr="005D3521">
        <w:rPr>
          <w:rFonts w:ascii="Times New Roman" w:hAnsi="Times New Roman" w:cs="Times New Roman"/>
          <w:sz w:val="24"/>
          <w:szCs w:val="20"/>
          <w:lang w:eastAsia="en-US"/>
        </w:rPr>
        <w:t xml:space="preserve">образовательных организаций, реализующих образовательные программы начального общего, основного общего и среднего общего образования, в том </w:t>
      </w:r>
      <w:r w:rsidRPr="008065F5">
        <w:rPr>
          <w:rFonts w:ascii="Times New Roman" w:hAnsi="Times New Roman" w:cs="Times New Roman"/>
          <w:sz w:val="24"/>
          <w:szCs w:val="24"/>
          <w:lang w:eastAsia="en-US"/>
        </w:rPr>
        <w:t>числе адаптированные основные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общеобразовательные программы.</w:t>
      </w:r>
    </w:p>
    <w:p w:rsidR="00C617FB" w:rsidRDefault="00C617FB" w:rsidP="00C617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D3521">
        <w:rPr>
          <w:szCs w:val="20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45303 00 0000 150 "Межбюджетные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классификации доходов бюджетов.</w:t>
      </w:r>
    </w:p>
    <w:p w:rsidR="00C617FB" w:rsidRDefault="00C617FB" w:rsidP="005476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63E9" w:rsidRDefault="005476C9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Д6280</w:t>
      </w:r>
      <w:r w:rsidR="00CF63E9">
        <w:rPr>
          <w:rFonts w:eastAsiaTheme="minorHAnsi"/>
          <w:szCs w:val="20"/>
          <w:lang w:eastAsia="en-US"/>
        </w:rPr>
        <w:t xml:space="preserve"> </w:t>
      </w:r>
      <w:r w:rsidR="00CF63E9" w:rsidRPr="00CF63E9">
        <w:rPr>
          <w:rFonts w:eastAsiaTheme="minorHAnsi"/>
          <w:szCs w:val="20"/>
          <w:lang w:eastAsia="en-US"/>
        </w:rPr>
        <w:t>Дополнительные 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</w:r>
    </w:p>
    <w:p w:rsidR="00CF63E9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3E9">
        <w:rPr>
          <w:rFonts w:ascii="Times New Roman" w:hAnsi="Times New Roman" w:cs="Times New Roman"/>
          <w:sz w:val="24"/>
        </w:rPr>
        <w:t xml:space="preserve">По данному направлению расходов отражаются расходы районного бюджета </w:t>
      </w:r>
      <w:r w:rsidRPr="00CF63E9">
        <w:rPr>
          <w:rFonts w:ascii="Times New Roman" w:hAnsi="Times New Roman" w:cs="Times New Roman"/>
          <w:sz w:val="24"/>
          <w:szCs w:val="24"/>
        </w:rPr>
        <w:t xml:space="preserve">на создание условий для организации досуга и обеспечения услугами организаций культуры жителей </w:t>
      </w:r>
      <w:r w:rsidRPr="00CF63E9">
        <w:rPr>
          <w:rFonts w:ascii="Times New Roman" w:hAnsi="Times New Roman" w:cs="Times New Roman"/>
          <w:sz w:val="24"/>
          <w:szCs w:val="24"/>
        </w:rPr>
        <w:lastRenderedPageBreak/>
        <w:t>Грязинского муниципального района в части подготовки кадров учреждений культуры в целях достижения значений дополнительного результата регионального проекта "Творческие люди"</w:t>
      </w:r>
      <w:proofErr w:type="gramStart"/>
      <w:r w:rsidRPr="00CF6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CF63E9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CF63E9" w:rsidRPr="00A70D5E" w:rsidTr="00747ABC">
        <w:tc>
          <w:tcPr>
            <w:tcW w:w="2376" w:type="dxa"/>
            <w:gridSpan w:val="4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D94CBA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C24D2F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C24D2F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r w:rsidRPr="00C24D2F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1A64B8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1A64B8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64B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МБУК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CF63E9" w:rsidRPr="00406B96" w:rsidTr="00747ABC">
        <w:tc>
          <w:tcPr>
            <w:tcW w:w="517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406B96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406B96" w:rsidTr="00747ABC">
        <w:tc>
          <w:tcPr>
            <w:tcW w:w="517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CF63E9" w:rsidRPr="008E5347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CF63E9" w:rsidRPr="00406B96" w:rsidTr="00747ABC">
        <w:tc>
          <w:tcPr>
            <w:tcW w:w="517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A2</w:t>
            </w:r>
          </w:p>
        </w:tc>
        <w:tc>
          <w:tcPr>
            <w:tcW w:w="903" w:type="dxa"/>
          </w:tcPr>
          <w:p w:rsidR="00CF63E9" w:rsidRPr="00406B96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Д6280</w:t>
            </w:r>
          </w:p>
        </w:tc>
        <w:tc>
          <w:tcPr>
            <w:tcW w:w="7938" w:type="dxa"/>
          </w:tcPr>
          <w:p w:rsidR="00CF63E9" w:rsidRPr="000E2E5D" w:rsidRDefault="000E2E5D" w:rsidP="00747ABC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0E2E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94145B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CF63E9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CF63E9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3E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CF63E9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</w:t>
            </w:r>
            <w:r w:rsidR="00CF63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и среднего предпринимательства </w:t>
            </w:r>
            <w:r w:rsidR="00CF63E9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 малых форм хозяйствования Грязинского муниципального района Липецкой области на 2020-2024 годы</w:t>
            </w:r>
            <w:r w:rsidR="00CF63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CF63E9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CF63E9" w:rsidRPr="00E15CF0" w:rsidTr="00747ABC">
        <w:tc>
          <w:tcPr>
            <w:tcW w:w="517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333E6F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E15CF0" w:rsidTr="00747ABC">
        <w:tc>
          <w:tcPr>
            <w:tcW w:w="517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2B579B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</w:p>
        </w:tc>
        <w:tc>
          <w:tcPr>
            <w:tcW w:w="7938" w:type="dxa"/>
          </w:tcPr>
          <w:p w:rsidR="00CF63E9" w:rsidRPr="005A2173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 (без условий софинансирования с областным бюджетом)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E15CF0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5A2173" w:rsidTr="00747ABC">
        <w:tc>
          <w:tcPr>
            <w:tcW w:w="517" w:type="dxa"/>
          </w:tcPr>
          <w:p w:rsidR="00CF63E9" w:rsidRPr="005A217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5A217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5A217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5A217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CF63E9" w:rsidRPr="005A2173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217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CF63E9" w:rsidRPr="00E15CF0" w:rsidTr="00747ABC">
        <w:tc>
          <w:tcPr>
            <w:tcW w:w="517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CF63E9" w:rsidRPr="00E15CF0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CF63E9" w:rsidRPr="00107693" w:rsidTr="00747ABC">
        <w:tc>
          <w:tcPr>
            <w:tcW w:w="517" w:type="dxa"/>
          </w:tcPr>
          <w:p w:rsidR="00CF63E9" w:rsidRPr="00FB59CB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FB59CB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FB59CB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FB59CB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:rsidR="00CF63E9" w:rsidRPr="00FB59CB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  <w:r w:rsidRPr="00FB59CB">
              <w:rPr>
                <w:rFonts w:ascii="Times New Roman" w:hAnsi="Times New Roman" w:cs="Times New Roman"/>
                <w:sz w:val="20"/>
                <w:szCs w:val="28"/>
              </w:rPr>
              <w:t>Субсидии на организацию и развитие заготовительной деятельности</w:t>
            </w:r>
          </w:p>
        </w:tc>
      </w:tr>
      <w:tr w:rsidR="00CF63E9" w:rsidRPr="00E15CF0" w:rsidTr="00747ABC">
        <w:tc>
          <w:tcPr>
            <w:tcW w:w="517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E15CF0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E15CF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94145B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CF63E9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CF63E9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3E9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CF63E9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CF63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CF63E9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10769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10769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10769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107693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06211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тавление субсидий, направленных</w:t>
            </w: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CF63E9" w:rsidRPr="00A170A0" w:rsidTr="00747ABC">
        <w:tc>
          <w:tcPr>
            <w:tcW w:w="517" w:type="dxa"/>
          </w:tcPr>
          <w:p w:rsidR="00CF63E9" w:rsidRPr="00A170A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170A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170A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170A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170A0" w:rsidRDefault="00CF63E9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0E2E5D" w:rsidRPr="000E2E5D" w:rsidTr="00747ABC">
        <w:tc>
          <w:tcPr>
            <w:tcW w:w="517" w:type="dxa"/>
          </w:tcPr>
          <w:p w:rsidR="000E2E5D" w:rsidRPr="00A70D5E" w:rsidRDefault="000E2E5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0E2E5D" w:rsidRPr="00A70D5E" w:rsidRDefault="000E2E5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E2E5D" w:rsidRPr="00A70D5E" w:rsidRDefault="000E2E5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0E2E5D" w:rsidRPr="00A70D5E" w:rsidRDefault="000E2E5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0E2E5D" w:rsidRPr="00A70D5E" w:rsidRDefault="000E2E5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170A0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CF63E9" w:rsidRPr="00A06211" w:rsidRDefault="00CF63E9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CF63E9" w:rsidRPr="008E5347" w:rsidRDefault="00CF63E9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2B579B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2B579B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муниципальных служащих на курсах повышения квалификации"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ащих"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2B579B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2B579B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Создание условий для обеспечения населения информацией о деятельности органов муниципальной власти и социально-экономическо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CF63E9" w:rsidRPr="00E73ABD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73AB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реализацию государственных полномочий по образованию и организации деятельности комиссии по делам несовершеннолетних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CF479A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CF63E9" w:rsidRPr="00CF479A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CF479A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887AA1" w:rsidTr="00747ABC">
        <w:tc>
          <w:tcPr>
            <w:tcW w:w="517" w:type="dxa"/>
          </w:tcPr>
          <w:p w:rsidR="00CF63E9" w:rsidRPr="00887AA1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CF63E9" w:rsidRPr="00887AA1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887AA1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CF63E9" w:rsidRPr="00887AA1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887AA1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 w:rsidRPr="00887A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63E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CF63E9" w:rsidRPr="00943AF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943AF9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</w:t>
            </w:r>
            <w:r>
              <w:rPr>
                <w:rFonts w:eastAsia="Arial Unicode MS"/>
                <w:sz w:val="20"/>
                <w:szCs w:val="20"/>
              </w:rPr>
              <w:t>380</w:t>
            </w:r>
          </w:p>
        </w:tc>
        <w:tc>
          <w:tcPr>
            <w:tcW w:w="7938" w:type="dxa"/>
          </w:tcPr>
          <w:p w:rsidR="00CF63E9" w:rsidRPr="00107693" w:rsidRDefault="00CF63E9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0769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CF63E9" w:rsidRPr="004641EA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CF63E9" w:rsidRPr="00107693" w:rsidRDefault="00CF63E9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41EA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CF63E9" w:rsidRPr="00063177" w:rsidTr="00747ABC">
        <w:tc>
          <w:tcPr>
            <w:tcW w:w="517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063177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063177" w:rsidTr="00747ABC">
        <w:tc>
          <w:tcPr>
            <w:tcW w:w="517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CF63E9" w:rsidRPr="00063177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CF63E9" w:rsidRPr="00063177" w:rsidTr="00747ABC">
        <w:tc>
          <w:tcPr>
            <w:tcW w:w="517" w:type="dxa"/>
          </w:tcPr>
          <w:p w:rsidR="00CF63E9" w:rsidRPr="00BB5F05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BB5F05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CF63E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CF63E9" w:rsidRPr="00BB5F05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5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CF63E9" w:rsidRPr="00063177" w:rsidTr="00747ABC">
        <w:tc>
          <w:tcPr>
            <w:tcW w:w="517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CF63E9" w:rsidRPr="00063177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A70D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063177" w:rsidTr="00747ABC">
        <w:tc>
          <w:tcPr>
            <w:tcW w:w="517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063177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CF63E9" w:rsidRPr="00063177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943AF9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943AF9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"Ремонт автомобильных дорог"</w:t>
            </w:r>
          </w:p>
        </w:tc>
      </w:tr>
      <w:tr w:rsidR="00887AA1" w:rsidRPr="00887AA1" w:rsidTr="00747ABC">
        <w:tc>
          <w:tcPr>
            <w:tcW w:w="517" w:type="dxa"/>
          </w:tcPr>
          <w:p w:rsidR="00887AA1" w:rsidRPr="00A70D5E" w:rsidRDefault="00887AA1" w:rsidP="00E02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87AA1" w:rsidRPr="00A70D5E" w:rsidRDefault="00887AA1" w:rsidP="00E02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87AA1" w:rsidRPr="00A70D5E" w:rsidRDefault="00887AA1" w:rsidP="00887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887AA1" w:rsidRPr="00A70D5E" w:rsidRDefault="00887AA1" w:rsidP="00E02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887AA1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87AA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87AA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87AA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87AA1" w:rsidRPr="008538FB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938" w:type="dxa"/>
          </w:tcPr>
          <w:p w:rsidR="00887AA1" w:rsidRPr="0087221C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7221C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887AA1" w:rsidRPr="00E60A83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компенсации затрат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на организацию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обучения по основным общеобразовательным программам на дому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538FB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87AA1" w:rsidRPr="000E2E5D" w:rsidTr="00747ABC">
        <w:tc>
          <w:tcPr>
            <w:tcW w:w="517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0E2E5D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5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887AA1" w:rsidRPr="000E2E5D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2E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87AA1" w:rsidRPr="00943AF9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87AA1" w:rsidRPr="00943AF9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"Повышение квалификации педагогических работников муниципальных образовательных организаций"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887AA1" w:rsidRPr="000E2E5D" w:rsidTr="00747ABC">
        <w:tc>
          <w:tcPr>
            <w:tcW w:w="517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0E2E5D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5D">
              <w:rPr>
                <w:rFonts w:ascii="Times New Roman" w:hAnsi="Times New Roman" w:cs="Times New Roman"/>
                <w:b/>
                <w:sz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87AA1" w:rsidRPr="000E2E5D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50534D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887AA1" w:rsidRPr="00A70D5E" w:rsidTr="00747ABC">
        <w:tc>
          <w:tcPr>
            <w:tcW w:w="517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87AA1" w:rsidRPr="005D352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  <w:lang w:val="en-US"/>
              </w:rPr>
              <w:t>R</w:t>
            </w:r>
            <w:r w:rsidRPr="005D3521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887AA1" w:rsidRPr="0050534D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8B1C02" w:rsidRDefault="00887AA1" w:rsidP="00747ABC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887AA1" w:rsidRPr="008B1C02" w:rsidTr="00747ABC">
        <w:tc>
          <w:tcPr>
            <w:tcW w:w="517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8B1C02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887AA1" w:rsidRPr="008B1C02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887AA1" w:rsidRPr="00A70D5E" w:rsidTr="00747ABC">
        <w:trPr>
          <w:trHeight w:val="275"/>
        </w:trPr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887AA1" w:rsidRPr="008B1C02" w:rsidTr="00747ABC">
        <w:tc>
          <w:tcPr>
            <w:tcW w:w="517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8B1C02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8B1C02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87AA1" w:rsidRPr="00A70D5E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887AA1" w:rsidRPr="00A70D5E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887AA1" w:rsidRPr="00A70D5E" w:rsidTr="00747ABC">
        <w:tc>
          <w:tcPr>
            <w:tcW w:w="517" w:type="dxa"/>
          </w:tcPr>
          <w:p w:rsidR="00887AA1" w:rsidRPr="00607CD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87AA1" w:rsidRPr="00607CD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87AA1" w:rsidRPr="00607CD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87AA1" w:rsidRPr="00607CD1" w:rsidRDefault="00887AA1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54690</w:t>
            </w:r>
          </w:p>
        </w:tc>
        <w:tc>
          <w:tcPr>
            <w:tcW w:w="7938" w:type="dxa"/>
          </w:tcPr>
          <w:p w:rsidR="00887AA1" w:rsidRPr="007866B9" w:rsidRDefault="00887AA1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66B9">
              <w:rPr>
                <w:rFonts w:ascii="Times New Roman" w:hAnsi="Times New Roman" w:cs="Times New Roman"/>
                <w:sz w:val="20"/>
              </w:rPr>
              <w:t>Проведение Всероссийской переписи населения 2020 года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2"/>
  </w:num>
  <w:num w:numId="5">
    <w:abstractNumId w:val="0"/>
  </w:num>
  <w:num w:numId="6">
    <w:abstractNumId w:val="11"/>
  </w:num>
  <w:num w:numId="7">
    <w:abstractNumId w:val="16"/>
  </w:num>
  <w:num w:numId="8">
    <w:abstractNumId w:val="21"/>
  </w:num>
  <w:num w:numId="9">
    <w:abstractNumId w:val="15"/>
  </w:num>
  <w:num w:numId="10">
    <w:abstractNumId w:val="17"/>
  </w:num>
  <w:num w:numId="11">
    <w:abstractNumId w:val="2"/>
  </w:num>
  <w:num w:numId="12">
    <w:abstractNumId w:val="7"/>
  </w:num>
  <w:num w:numId="13">
    <w:abstractNumId w:val="4"/>
  </w:num>
  <w:num w:numId="14">
    <w:abstractNumId w:val="20"/>
  </w:num>
  <w:num w:numId="15">
    <w:abstractNumId w:val="22"/>
  </w:num>
  <w:num w:numId="16">
    <w:abstractNumId w:val="6"/>
  </w:num>
  <w:num w:numId="17">
    <w:abstractNumId w:val="13"/>
  </w:num>
  <w:num w:numId="18">
    <w:abstractNumId w:val="3"/>
  </w:num>
  <w:num w:numId="19">
    <w:abstractNumId w:val="5"/>
  </w:num>
  <w:num w:numId="20">
    <w:abstractNumId w:val="10"/>
  </w:num>
  <w:num w:numId="21">
    <w:abstractNumId w:val="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E2E5D"/>
    <w:rsid w:val="005476C9"/>
    <w:rsid w:val="006009C1"/>
    <w:rsid w:val="007119D9"/>
    <w:rsid w:val="00747ABC"/>
    <w:rsid w:val="00877190"/>
    <w:rsid w:val="00887AA1"/>
    <w:rsid w:val="0094145B"/>
    <w:rsid w:val="00952385"/>
    <w:rsid w:val="00AE548E"/>
    <w:rsid w:val="00C42A90"/>
    <w:rsid w:val="00C617FB"/>
    <w:rsid w:val="00C63A48"/>
    <w:rsid w:val="00CA6DF2"/>
    <w:rsid w:val="00C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5734</Words>
  <Characters>32689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2021-03-02T07:33:00Z</cp:lastPrinted>
  <dcterms:created xsi:type="dcterms:W3CDTF">2021-02-17T07:49:00Z</dcterms:created>
  <dcterms:modified xsi:type="dcterms:W3CDTF">2021-03-03T13:44:00Z</dcterms:modified>
</cp:coreProperties>
</file>