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847" w:rsidRPr="00ED1406" w:rsidRDefault="00452847">
      <w:pPr>
        <w:pStyle w:val="ConsPlusTitle"/>
        <w:jc w:val="center"/>
        <w:outlineLvl w:val="0"/>
        <w:rPr>
          <w:rFonts w:ascii="Times New Roman" w:hAnsi="Times New Roman" w:cs="Times New Roman"/>
          <w:sz w:val="28"/>
          <w:szCs w:val="28"/>
        </w:rPr>
      </w:pPr>
      <w:bookmarkStart w:id="0" w:name="_GoBack"/>
      <w:bookmarkEnd w:id="0"/>
      <w:r w:rsidRPr="00ED1406">
        <w:rPr>
          <w:rFonts w:ascii="Times New Roman" w:hAnsi="Times New Roman" w:cs="Times New Roman"/>
          <w:sz w:val="28"/>
          <w:szCs w:val="28"/>
        </w:rPr>
        <w:t>ГРЯЗИНСКИЙ РАЙОННЫЙ СОВЕТ ДЕПУТАТОВ</w:t>
      </w: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ЛИПЕЦКОЙ ОБЛАСТИ</w:t>
      </w:r>
    </w:p>
    <w:p w:rsidR="00452847" w:rsidRPr="00ED1406" w:rsidRDefault="00452847">
      <w:pPr>
        <w:pStyle w:val="ConsPlusTitle"/>
        <w:jc w:val="center"/>
        <w:rPr>
          <w:rFonts w:ascii="Times New Roman" w:hAnsi="Times New Roman" w:cs="Times New Roman"/>
          <w:sz w:val="28"/>
          <w:szCs w:val="28"/>
        </w:rPr>
      </w:pP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РЕШЕНИЕ</w:t>
      </w: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от 27 ноября 2007 г. N 421</w:t>
      </w:r>
    </w:p>
    <w:p w:rsidR="00452847" w:rsidRPr="00ED1406" w:rsidRDefault="00452847">
      <w:pPr>
        <w:pStyle w:val="ConsPlusTitle"/>
        <w:jc w:val="center"/>
        <w:rPr>
          <w:rFonts w:ascii="Times New Roman" w:hAnsi="Times New Roman" w:cs="Times New Roman"/>
          <w:sz w:val="28"/>
          <w:szCs w:val="28"/>
        </w:rPr>
      </w:pP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О СТРАТЕГИИ СОЦИАЛЬНО-ЭКОНОМИЧЕСКОГО РАЗВИТИЯ</w:t>
      </w: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ГРЯЗИНСКОГО МУНИЦИПАЛЬНОГО РАЙОНА ЛИПЕЦКОЙ ОБЛАСТИ</w:t>
      </w: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НА ПЕРИОД ДО 2024 ГОДА</w:t>
      </w:r>
    </w:p>
    <w:p w:rsidR="00452847" w:rsidRPr="00ED1406"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52847" w:rsidRPr="00ED1406">
        <w:tc>
          <w:tcPr>
            <w:tcW w:w="60" w:type="dxa"/>
            <w:tcBorders>
              <w:top w:val="nil"/>
              <w:left w:val="nil"/>
              <w:bottom w:val="nil"/>
              <w:right w:val="nil"/>
            </w:tcBorders>
            <w:shd w:val="clear" w:color="auto" w:fill="CED3F1"/>
            <w:tcMar>
              <w:top w:w="0" w:type="dxa"/>
              <w:left w:w="0" w:type="dxa"/>
              <w:bottom w:w="0" w:type="dxa"/>
              <w:right w:w="0" w:type="dxa"/>
            </w:tcMar>
          </w:tcPr>
          <w:p w:rsidR="00452847" w:rsidRPr="00ED1406"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ED1406"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Список изменяющих документов</w:t>
            </w:r>
          </w:p>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(в ред. решений Совета депутатов Грязинского муниципального района</w:t>
            </w:r>
          </w:p>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 xml:space="preserve">Липецкой обл. от 23.03.2010 </w:t>
            </w:r>
            <w:hyperlink r:id="rId4">
              <w:r w:rsidRPr="00ED1406">
                <w:rPr>
                  <w:rFonts w:ascii="Times New Roman" w:hAnsi="Times New Roman" w:cs="Times New Roman"/>
                  <w:color w:val="0000FF"/>
                  <w:sz w:val="28"/>
                  <w:szCs w:val="28"/>
                </w:rPr>
                <w:t>N 193</w:t>
              </w:r>
            </w:hyperlink>
            <w:r w:rsidRPr="00ED1406">
              <w:rPr>
                <w:rFonts w:ascii="Times New Roman" w:hAnsi="Times New Roman" w:cs="Times New Roman"/>
                <w:color w:val="392C69"/>
                <w:sz w:val="28"/>
                <w:szCs w:val="28"/>
              </w:rPr>
              <w:t xml:space="preserve">, от 27.04.2011 </w:t>
            </w:r>
            <w:hyperlink r:id="rId5">
              <w:r w:rsidRPr="00ED1406">
                <w:rPr>
                  <w:rFonts w:ascii="Times New Roman" w:hAnsi="Times New Roman" w:cs="Times New Roman"/>
                  <w:color w:val="0000FF"/>
                  <w:sz w:val="28"/>
                  <w:szCs w:val="28"/>
                </w:rPr>
                <w:t>N 291</w:t>
              </w:r>
            </w:hyperlink>
            <w:r w:rsidRPr="00ED1406">
              <w:rPr>
                <w:rFonts w:ascii="Times New Roman" w:hAnsi="Times New Roman" w:cs="Times New Roman"/>
                <w:color w:val="392C69"/>
                <w:sz w:val="28"/>
                <w:szCs w:val="28"/>
              </w:rPr>
              <w:t>,</w:t>
            </w:r>
          </w:p>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 xml:space="preserve">от 20.12.2011 </w:t>
            </w:r>
            <w:hyperlink r:id="rId6">
              <w:r w:rsidRPr="00ED1406">
                <w:rPr>
                  <w:rFonts w:ascii="Times New Roman" w:hAnsi="Times New Roman" w:cs="Times New Roman"/>
                  <w:color w:val="0000FF"/>
                  <w:sz w:val="28"/>
                  <w:szCs w:val="28"/>
                </w:rPr>
                <w:t>N 349</w:t>
              </w:r>
            </w:hyperlink>
            <w:r w:rsidRPr="00ED1406">
              <w:rPr>
                <w:rFonts w:ascii="Times New Roman" w:hAnsi="Times New Roman" w:cs="Times New Roman"/>
                <w:color w:val="392C69"/>
                <w:sz w:val="28"/>
                <w:szCs w:val="28"/>
              </w:rPr>
              <w:t xml:space="preserve">, от 19.12.2017 </w:t>
            </w:r>
            <w:hyperlink r:id="rId7">
              <w:r w:rsidRPr="00ED1406">
                <w:rPr>
                  <w:rFonts w:ascii="Times New Roman" w:hAnsi="Times New Roman" w:cs="Times New Roman"/>
                  <w:color w:val="0000FF"/>
                  <w:sz w:val="28"/>
                  <w:szCs w:val="28"/>
                </w:rPr>
                <w:t>N 171</w:t>
              </w:r>
            </w:hyperlink>
            <w:r w:rsidRPr="00ED1406">
              <w:rPr>
                <w:rFonts w:ascii="Times New Roman" w:hAnsi="Times New Roman" w:cs="Times New Roman"/>
                <w:color w:val="392C69"/>
                <w:sz w:val="28"/>
                <w:szCs w:val="28"/>
              </w:rPr>
              <w:t xml:space="preserve">, от 16.10.2018 </w:t>
            </w:r>
            <w:hyperlink r:id="rId8">
              <w:r w:rsidRPr="00ED1406">
                <w:rPr>
                  <w:rFonts w:ascii="Times New Roman" w:hAnsi="Times New Roman" w:cs="Times New Roman"/>
                  <w:color w:val="0000FF"/>
                  <w:sz w:val="28"/>
                  <w:szCs w:val="28"/>
                </w:rPr>
                <w:t>N 224</w:t>
              </w:r>
            </w:hyperlink>
            <w:r w:rsidRPr="00ED1406">
              <w:rPr>
                <w:rFonts w:ascii="Times New Roman" w:hAnsi="Times New Roman" w:cs="Times New Roman"/>
                <w:color w:val="0000FF"/>
                <w:sz w:val="28"/>
                <w:szCs w:val="28"/>
              </w:rPr>
              <w:t>, от 23.08.2022 № 121</w:t>
            </w:r>
            <w:r w:rsidRPr="00ED1406">
              <w:rPr>
                <w:rFonts w:ascii="Times New Roman" w:hAnsi="Times New Roman" w:cs="Times New Roman"/>
                <w:color w:val="392C69"/>
                <w:sz w:val="28"/>
                <w:szCs w:val="28"/>
              </w:rPr>
              <w:t>)</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ED1406" w:rsidRDefault="00452847">
            <w:pPr>
              <w:pStyle w:val="ConsPlusNormal"/>
              <w:rPr>
                <w:rFonts w:ascii="Times New Roman" w:hAnsi="Times New Roman" w:cs="Times New Roman"/>
                <w:sz w:val="28"/>
                <w:szCs w:val="28"/>
              </w:rPr>
            </w:pPr>
          </w:p>
        </w:tc>
      </w:tr>
    </w:tbl>
    <w:p w:rsidR="00452847" w:rsidRPr="00ED1406" w:rsidRDefault="00452847">
      <w:pPr>
        <w:pStyle w:val="ConsPlusNormal"/>
        <w:jc w:val="both"/>
        <w:rPr>
          <w:rFonts w:ascii="Times New Roman" w:hAnsi="Times New Roman" w:cs="Times New Roman"/>
          <w:sz w:val="28"/>
          <w:szCs w:val="28"/>
        </w:rPr>
      </w:pPr>
    </w:p>
    <w:p w:rsidR="00452847" w:rsidRPr="00ED1406" w:rsidRDefault="00452847">
      <w:pPr>
        <w:pStyle w:val="ConsPlusNormal"/>
        <w:ind w:firstLine="540"/>
        <w:jc w:val="both"/>
        <w:rPr>
          <w:rFonts w:ascii="Times New Roman" w:hAnsi="Times New Roman" w:cs="Times New Roman"/>
          <w:sz w:val="28"/>
          <w:szCs w:val="28"/>
        </w:rPr>
      </w:pPr>
      <w:r w:rsidRPr="00ED1406">
        <w:rPr>
          <w:rFonts w:ascii="Times New Roman" w:hAnsi="Times New Roman" w:cs="Times New Roman"/>
          <w:sz w:val="28"/>
          <w:szCs w:val="28"/>
        </w:rPr>
        <w:t xml:space="preserve">Рассмотрев принятый в первом чтении проект стратегии социально-экономического развития Грязинского муниципального района Липецкой области на период до 2020 года, в соответствии с Федеральным </w:t>
      </w:r>
      <w:hyperlink r:id="rId9">
        <w:r w:rsidRPr="00ED1406">
          <w:rPr>
            <w:rFonts w:ascii="Times New Roman" w:hAnsi="Times New Roman" w:cs="Times New Roman"/>
            <w:color w:val="0000FF"/>
            <w:sz w:val="28"/>
            <w:szCs w:val="28"/>
          </w:rPr>
          <w:t>законом</w:t>
        </w:r>
      </w:hyperlink>
      <w:r w:rsidRPr="00ED1406">
        <w:rPr>
          <w:rFonts w:ascii="Times New Roman" w:hAnsi="Times New Roman" w:cs="Times New Roman"/>
          <w:sz w:val="28"/>
          <w:szCs w:val="28"/>
        </w:rPr>
        <w:t xml:space="preserve"> N 131-ФЗ от 06.10.2003 "Об общих принципах организации местного самоуправления в Российской Федерации", </w:t>
      </w:r>
      <w:hyperlink r:id="rId10">
        <w:r w:rsidRPr="00ED1406">
          <w:rPr>
            <w:rFonts w:ascii="Times New Roman" w:hAnsi="Times New Roman" w:cs="Times New Roman"/>
            <w:color w:val="0000FF"/>
            <w:sz w:val="28"/>
            <w:szCs w:val="28"/>
          </w:rPr>
          <w:t>ст. 21</w:t>
        </w:r>
      </w:hyperlink>
      <w:r w:rsidRPr="00ED1406">
        <w:rPr>
          <w:rFonts w:ascii="Times New Roman" w:hAnsi="Times New Roman" w:cs="Times New Roman"/>
          <w:sz w:val="28"/>
          <w:szCs w:val="28"/>
        </w:rPr>
        <w:t xml:space="preserve"> Устава Грязинского муниципального района, учитывая решение постоянных комиссий по экономике и финансам, по социальным вопросам, районный Совет депутатов решил:</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xml:space="preserve">1. Принять </w:t>
      </w:r>
      <w:hyperlink w:anchor="P29">
        <w:r w:rsidRPr="00ED1406">
          <w:rPr>
            <w:rFonts w:ascii="Times New Roman" w:hAnsi="Times New Roman" w:cs="Times New Roman"/>
            <w:color w:val="0000FF"/>
            <w:sz w:val="28"/>
            <w:szCs w:val="28"/>
          </w:rPr>
          <w:t>Стратегию</w:t>
        </w:r>
      </w:hyperlink>
      <w:r w:rsidRPr="00ED1406">
        <w:rPr>
          <w:rFonts w:ascii="Times New Roman" w:hAnsi="Times New Roman" w:cs="Times New Roman"/>
          <w:sz w:val="28"/>
          <w:szCs w:val="28"/>
        </w:rPr>
        <w:t xml:space="preserve"> социально-экономического развития Грязинского муниципального района Липецкой области на период до 2024 года (прилагается).</w:t>
      </w:r>
    </w:p>
    <w:p w:rsidR="00452847" w:rsidRPr="00ED1406" w:rsidRDefault="00452847">
      <w:pPr>
        <w:pStyle w:val="ConsPlusNormal"/>
        <w:jc w:val="both"/>
        <w:rPr>
          <w:rFonts w:ascii="Times New Roman" w:hAnsi="Times New Roman" w:cs="Times New Roman"/>
          <w:sz w:val="28"/>
          <w:szCs w:val="28"/>
        </w:rPr>
      </w:pPr>
      <w:r w:rsidRPr="00ED1406">
        <w:rPr>
          <w:rFonts w:ascii="Times New Roman" w:hAnsi="Times New Roman" w:cs="Times New Roman"/>
          <w:sz w:val="28"/>
          <w:szCs w:val="28"/>
        </w:rPr>
        <w:t xml:space="preserve">(в ред. </w:t>
      </w:r>
      <w:hyperlink r:id="rId11">
        <w:r w:rsidRPr="00ED1406">
          <w:rPr>
            <w:rFonts w:ascii="Times New Roman" w:hAnsi="Times New Roman" w:cs="Times New Roman"/>
            <w:color w:val="0000FF"/>
            <w:sz w:val="28"/>
            <w:szCs w:val="28"/>
          </w:rPr>
          <w:t>решения</w:t>
        </w:r>
      </w:hyperlink>
      <w:r w:rsidRPr="00ED1406">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xml:space="preserve">2. Направить </w:t>
      </w:r>
      <w:hyperlink w:anchor="P29">
        <w:r w:rsidRPr="00ED1406">
          <w:rPr>
            <w:rFonts w:ascii="Times New Roman" w:hAnsi="Times New Roman" w:cs="Times New Roman"/>
            <w:color w:val="0000FF"/>
            <w:sz w:val="28"/>
            <w:szCs w:val="28"/>
          </w:rPr>
          <w:t>Стратегию</w:t>
        </w:r>
      </w:hyperlink>
      <w:r w:rsidRPr="00ED1406">
        <w:rPr>
          <w:rFonts w:ascii="Times New Roman" w:hAnsi="Times New Roman" w:cs="Times New Roman"/>
          <w:sz w:val="28"/>
          <w:szCs w:val="28"/>
        </w:rPr>
        <w:t xml:space="preserve"> социально-экономического развития Грязинского муниципального района Липецкой области на период до 2020 года главе Грязинского муниципального района для подписания и официального опубликования.</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3. Настоящее решение вступает в силу со дня его официального опубликования.</w:t>
      </w:r>
    </w:p>
    <w:p w:rsidR="00452847" w:rsidRPr="00ED1406" w:rsidRDefault="00452847">
      <w:pPr>
        <w:pStyle w:val="ConsPlusNormal"/>
        <w:jc w:val="both"/>
        <w:rPr>
          <w:rFonts w:ascii="Times New Roman" w:hAnsi="Times New Roman" w:cs="Times New Roman"/>
          <w:sz w:val="28"/>
          <w:szCs w:val="28"/>
        </w:rPr>
      </w:pP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Председатель</w:t>
      </w: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районного Совета депутатов</w:t>
      </w: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Л.Ф.НЕКРАСОВ</w:t>
      </w: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ED1406" w:rsidRDefault="00ED1406">
      <w:pPr>
        <w:pStyle w:val="ConsPlusTitle"/>
        <w:jc w:val="center"/>
        <w:outlineLvl w:val="0"/>
        <w:rPr>
          <w:rFonts w:ascii="Times New Roman" w:hAnsi="Times New Roman" w:cs="Times New Roman"/>
          <w:sz w:val="28"/>
          <w:szCs w:val="28"/>
        </w:rPr>
      </w:pPr>
      <w:bookmarkStart w:id="1" w:name="P29"/>
      <w:bookmarkEnd w:id="1"/>
    </w:p>
    <w:p w:rsidR="00ED1406" w:rsidRDefault="00ED1406">
      <w:pPr>
        <w:pStyle w:val="ConsPlusTitle"/>
        <w:jc w:val="center"/>
        <w:outlineLvl w:val="0"/>
        <w:rPr>
          <w:rFonts w:ascii="Times New Roman" w:hAnsi="Times New Roman" w:cs="Times New Roman"/>
          <w:sz w:val="28"/>
          <w:szCs w:val="28"/>
        </w:rPr>
      </w:pPr>
    </w:p>
    <w:p w:rsidR="00452847" w:rsidRPr="00ED1406" w:rsidRDefault="00452847">
      <w:pPr>
        <w:pStyle w:val="ConsPlusTitle"/>
        <w:jc w:val="center"/>
        <w:outlineLvl w:val="0"/>
        <w:rPr>
          <w:rFonts w:ascii="Times New Roman" w:hAnsi="Times New Roman" w:cs="Times New Roman"/>
          <w:sz w:val="28"/>
          <w:szCs w:val="28"/>
        </w:rPr>
      </w:pPr>
      <w:r w:rsidRPr="00ED1406">
        <w:rPr>
          <w:rFonts w:ascii="Times New Roman" w:hAnsi="Times New Roman" w:cs="Times New Roman"/>
          <w:sz w:val="28"/>
          <w:szCs w:val="28"/>
        </w:rPr>
        <w:lastRenderedPageBreak/>
        <w:t>СТРАТЕГИЯ</w:t>
      </w: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СОЦИАЛЬНО-ЭКОНОМИЧЕСКОГО РАЗВИТИЯ ГРЯЗИНСКОГО МУНИЦИПАЛЬНОГО</w:t>
      </w:r>
    </w:p>
    <w:p w:rsidR="00452847" w:rsidRPr="00ED1406" w:rsidRDefault="00452847">
      <w:pPr>
        <w:pStyle w:val="ConsPlusTitle"/>
        <w:jc w:val="center"/>
        <w:rPr>
          <w:rFonts w:ascii="Times New Roman" w:hAnsi="Times New Roman" w:cs="Times New Roman"/>
          <w:sz w:val="28"/>
          <w:szCs w:val="28"/>
        </w:rPr>
      </w:pPr>
      <w:r w:rsidRPr="00ED1406">
        <w:rPr>
          <w:rFonts w:ascii="Times New Roman" w:hAnsi="Times New Roman" w:cs="Times New Roman"/>
          <w:sz w:val="28"/>
          <w:szCs w:val="28"/>
        </w:rPr>
        <w:t>РАЙОНА ЛИПЕЦКОЙ ОБЛАСТИ НА ПЕРИОД ДО 2026 ГОДА</w:t>
      </w:r>
    </w:p>
    <w:p w:rsidR="00452847" w:rsidRPr="00ED1406" w:rsidRDefault="00452847">
      <w:pPr>
        <w:pStyle w:val="ConsPlusNormal"/>
        <w:jc w:val="both"/>
        <w:rPr>
          <w:rFonts w:ascii="Times New Roman" w:hAnsi="Times New Roman" w:cs="Times New Roman"/>
          <w:sz w:val="28"/>
          <w:szCs w:val="28"/>
        </w:rPr>
      </w:pP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Принята</w:t>
      </w: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решением</w:t>
      </w: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Грязинского районного</w:t>
      </w: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Совета депутатов</w:t>
      </w:r>
    </w:p>
    <w:p w:rsidR="00452847" w:rsidRPr="00ED1406" w:rsidRDefault="00452847">
      <w:pPr>
        <w:pStyle w:val="ConsPlusNormal"/>
        <w:jc w:val="right"/>
        <w:rPr>
          <w:rFonts w:ascii="Times New Roman" w:hAnsi="Times New Roman" w:cs="Times New Roman"/>
          <w:sz w:val="28"/>
          <w:szCs w:val="28"/>
        </w:rPr>
      </w:pPr>
      <w:r w:rsidRPr="00ED1406">
        <w:rPr>
          <w:rFonts w:ascii="Times New Roman" w:hAnsi="Times New Roman" w:cs="Times New Roman"/>
          <w:sz w:val="28"/>
          <w:szCs w:val="28"/>
        </w:rPr>
        <w:t>от 27 ноября 2007 г. N 421</w:t>
      </w:r>
    </w:p>
    <w:p w:rsidR="00452847" w:rsidRPr="00ED1406"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52847" w:rsidRPr="00ED1406">
        <w:tc>
          <w:tcPr>
            <w:tcW w:w="60" w:type="dxa"/>
            <w:tcBorders>
              <w:top w:val="nil"/>
              <w:left w:val="nil"/>
              <w:bottom w:val="nil"/>
              <w:right w:val="nil"/>
            </w:tcBorders>
            <w:shd w:val="clear" w:color="auto" w:fill="CED3F1"/>
            <w:tcMar>
              <w:top w:w="0" w:type="dxa"/>
              <w:left w:w="0" w:type="dxa"/>
              <w:bottom w:w="0" w:type="dxa"/>
              <w:right w:w="0" w:type="dxa"/>
            </w:tcMar>
          </w:tcPr>
          <w:p w:rsidR="00452847" w:rsidRPr="00ED1406"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ED1406"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Список изменяющих документов</w:t>
            </w:r>
          </w:p>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(в ред. решений Совета депутатов Грязинского муниципального района</w:t>
            </w:r>
          </w:p>
          <w:p w:rsidR="00452847" w:rsidRPr="00ED1406" w:rsidRDefault="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 xml:space="preserve">Липецкой обл. от 23.03.2010 </w:t>
            </w:r>
            <w:hyperlink r:id="rId12">
              <w:r w:rsidRPr="00ED1406">
                <w:rPr>
                  <w:rFonts w:ascii="Times New Roman" w:hAnsi="Times New Roman" w:cs="Times New Roman"/>
                  <w:color w:val="0000FF"/>
                  <w:sz w:val="28"/>
                  <w:szCs w:val="28"/>
                </w:rPr>
                <w:t>N 193</w:t>
              </w:r>
            </w:hyperlink>
            <w:r w:rsidRPr="00ED1406">
              <w:rPr>
                <w:rFonts w:ascii="Times New Roman" w:hAnsi="Times New Roman" w:cs="Times New Roman"/>
                <w:color w:val="392C69"/>
                <w:sz w:val="28"/>
                <w:szCs w:val="28"/>
              </w:rPr>
              <w:t xml:space="preserve">, от 27.04.2011 </w:t>
            </w:r>
            <w:hyperlink r:id="rId13">
              <w:r w:rsidRPr="00ED1406">
                <w:rPr>
                  <w:rFonts w:ascii="Times New Roman" w:hAnsi="Times New Roman" w:cs="Times New Roman"/>
                  <w:color w:val="0000FF"/>
                  <w:sz w:val="28"/>
                  <w:szCs w:val="28"/>
                </w:rPr>
                <w:t>N 291</w:t>
              </w:r>
            </w:hyperlink>
            <w:r w:rsidRPr="00ED1406">
              <w:rPr>
                <w:rFonts w:ascii="Times New Roman" w:hAnsi="Times New Roman" w:cs="Times New Roman"/>
                <w:color w:val="392C69"/>
                <w:sz w:val="28"/>
                <w:szCs w:val="28"/>
              </w:rPr>
              <w:t>,</w:t>
            </w:r>
          </w:p>
          <w:p w:rsidR="00452847" w:rsidRPr="00ED1406" w:rsidRDefault="00452847" w:rsidP="00452847">
            <w:pPr>
              <w:pStyle w:val="ConsPlusNormal"/>
              <w:jc w:val="center"/>
              <w:rPr>
                <w:rFonts w:ascii="Times New Roman" w:hAnsi="Times New Roman" w:cs="Times New Roman"/>
                <w:sz w:val="28"/>
                <w:szCs w:val="28"/>
              </w:rPr>
            </w:pPr>
            <w:r w:rsidRPr="00ED1406">
              <w:rPr>
                <w:rFonts w:ascii="Times New Roman" w:hAnsi="Times New Roman" w:cs="Times New Roman"/>
                <w:color w:val="392C69"/>
                <w:sz w:val="28"/>
                <w:szCs w:val="28"/>
              </w:rPr>
              <w:t xml:space="preserve">от 20.12.2011 </w:t>
            </w:r>
            <w:hyperlink r:id="rId14">
              <w:r w:rsidRPr="00ED1406">
                <w:rPr>
                  <w:rFonts w:ascii="Times New Roman" w:hAnsi="Times New Roman" w:cs="Times New Roman"/>
                  <w:color w:val="0000FF"/>
                  <w:sz w:val="28"/>
                  <w:szCs w:val="28"/>
                </w:rPr>
                <w:t>N 349</w:t>
              </w:r>
            </w:hyperlink>
            <w:r w:rsidRPr="00ED1406">
              <w:rPr>
                <w:rFonts w:ascii="Times New Roman" w:hAnsi="Times New Roman" w:cs="Times New Roman"/>
                <w:color w:val="392C69"/>
                <w:sz w:val="28"/>
                <w:szCs w:val="28"/>
              </w:rPr>
              <w:t xml:space="preserve">, от 19.12.2017 </w:t>
            </w:r>
            <w:hyperlink r:id="rId15">
              <w:r w:rsidRPr="00ED1406">
                <w:rPr>
                  <w:rFonts w:ascii="Times New Roman" w:hAnsi="Times New Roman" w:cs="Times New Roman"/>
                  <w:color w:val="0000FF"/>
                  <w:sz w:val="28"/>
                  <w:szCs w:val="28"/>
                </w:rPr>
                <w:t>N 171</w:t>
              </w:r>
            </w:hyperlink>
            <w:r w:rsidRPr="00ED1406">
              <w:rPr>
                <w:rFonts w:ascii="Times New Roman" w:hAnsi="Times New Roman" w:cs="Times New Roman"/>
                <w:color w:val="392C69"/>
                <w:sz w:val="28"/>
                <w:szCs w:val="28"/>
              </w:rPr>
              <w:t xml:space="preserve">, от 16.10.2018 </w:t>
            </w:r>
            <w:hyperlink r:id="rId16">
              <w:r w:rsidRPr="00ED1406">
                <w:rPr>
                  <w:rFonts w:ascii="Times New Roman" w:hAnsi="Times New Roman" w:cs="Times New Roman"/>
                  <w:color w:val="0000FF"/>
                  <w:sz w:val="28"/>
                  <w:szCs w:val="28"/>
                </w:rPr>
                <w:t>N 224</w:t>
              </w:r>
            </w:hyperlink>
            <w:r w:rsidRPr="00ED1406">
              <w:rPr>
                <w:rFonts w:ascii="Times New Roman" w:hAnsi="Times New Roman" w:cs="Times New Roman"/>
                <w:color w:val="0000FF"/>
                <w:sz w:val="28"/>
                <w:szCs w:val="28"/>
              </w:rPr>
              <w:t>, от 23.08.2022 № 121</w:t>
            </w:r>
            <w:r w:rsidRPr="00ED1406">
              <w:rPr>
                <w:rFonts w:ascii="Times New Roman" w:hAnsi="Times New Roman" w:cs="Times New Roman"/>
                <w:color w:val="392C69"/>
                <w:sz w:val="28"/>
                <w:szCs w:val="28"/>
              </w:rPr>
              <w:t>)</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ED1406" w:rsidRDefault="00452847">
            <w:pPr>
              <w:pStyle w:val="ConsPlusNormal"/>
              <w:rPr>
                <w:rFonts w:ascii="Times New Roman" w:hAnsi="Times New Roman" w:cs="Times New Roman"/>
                <w:sz w:val="28"/>
                <w:szCs w:val="28"/>
              </w:rPr>
            </w:pPr>
          </w:p>
        </w:tc>
      </w:tr>
    </w:tbl>
    <w:p w:rsidR="00452847" w:rsidRPr="00ED1406" w:rsidRDefault="00452847">
      <w:pPr>
        <w:pStyle w:val="ConsPlusNormal"/>
        <w:jc w:val="both"/>
        <w:rPr>
          <w:rFonts w:ascii="Times New Roman" w:hAnsi="Times New Roman" w:cs="Times New Roman"/>
          <w:sz w:val="28"/>
          <w:szCs w:val="28"/>
        </w:rPr>
      </w:pPr>
    </w:p>
    <w:p w:rsidR="00452847" w:rsidRPr="00ED1406" w:rsidRDefault="00452847">
      <w:pPr>
        <w:pStyle w:val="ConsPlusTitle"/>
        <w:ind w:firstLine="540"/>
        <w:jc w:val="both"/>
        <w:outlineLvl w:val="1"/>
        <w:rPr>
          <w:rFonts w:ascii="Times New Roman" w:hAnsi="Times New Roman" w:cs="Times New Roman"/>
          <w:sz w:val="28"/>
          <w:szCs w:val="28"/>
        </w:rPr>
      </w:pPr>
      <w:r w:rsidRPr="00ED1406">
        <w:rPr>
          <w:rFonts w:ascii="Times New Roman" w:hAnsi="Times New Roman" w:cs="Times New Roman"/>
          <w:sz w:val="28"/>
          <w:szCs w:val="28"/>
        </w:rPr>
        <w:t>ВВЕДЕНИЕ</w:t>
      </w:r>
    </w:p>
    <w:p w:rsidR="00452847" w:rsidRPr="00ED1406" w:rsidRDefault="00452847">
      <w:pPr>
        <w:pStyle w:val="ConsPlusNormal"/>
        <w:jc w:val="both"/>
        <w:rPr>
          <w:rFonts w:ascii="Times New Roman" w:hAnsi="Times New Roman" w:cs="Times New Roman"/>
          <w:sz w:val="28"/>
          <w:szCs w:val="28"/>
        </w:rPr>
      </w:pPr>
    </w:p>
    <w:p w:rsidR="00452847" w:rsidRPr="00ED1406" w:rsidRDefault="00452847">
      <w:pPr>
        <w:pStyle w:val="ConsPlusNormal"/>
        <w:ind w:firstLine="540"/>
        <w:jc w:val="both"/>
        <w:rPr>
          <w:rFonts w:ascii="Times New Roman" w:hAnsi="Times New Roman" w:cs="Times New Roman"/>
          <w:sz w:val="28"/>
          <w:szCs w:val="28"/>
        </w:rPr>
      </w:pPr>
      <w:r w:rsidRPr="00ED1406">
        <w:rPr>
          <w:rFonts w:ascii="Times New Roman" w:hAnsi="Times New Roman" w:cs="Times New Roman"/>
          <w:sz w:val="28"/>
          <w:szCs w:val="28"/>
        </w:rPr>
        <w:t>Стратегия социально-экономического развития Грязинского района на период до 2026 года ориентирована на определение направлений, перспектив развития района с учетом текущей экономической ситуации в районе и внешних факторов, способных оказать влияние на текущую ситуацию и оказаться как благоприятными, так и неблагоприятными с точки зрения влияния на экономический потенциал района.</w:t>
      </w:r>
    </w:p>
    <w:p w:rsidR="00452847" w:rsidRPr="00ED1406" w:rsidRDefault="00452847">
      <w:pPr>
        <w:pStyle w:val="ConsPlusNormal"/>
        <w:jc w:val="both"/>
        <w:rPr>
          <w:rFonts w:ascii="Times New Roman" w:hAnsi="Times New Roman" w:cs="Times New Roman"/>
          <w:sz w:val="28"/>
          <w:szCs w:val="28"/>
        </w:rPr>
      </w:pPr>
      <w:r w:rsidRPr="00ED1406">
        <w:rPr>
          <w:rFonts w:ascii="Times New Roman" w:hAnsi="Times New Roman" w:cs="Times New Roman"/>
          <w:sz w:val="28"/>
          <w:szCs w:val="28"/>
        </w:rPr>
        <w:t xml:space="preserve">(в ред. </w:t>
      </w:r>
      <w:hyperlink r:id="rId17">
        <w:r w:rsidRPr="00ED1406">
          <w:rPr>
            <w:rFonts w:ascii="Times New Roman" w:hAnsi="Times New Roman" w:cs="Times New Roman"/>
            <w:color w:val="0000FF"/>
            <w:sz w:val="28"/>
            <w:szCs w:val="28"/>
          </w:rPr>
          <w:t>решения</w:t>
        </w:r>
      </w:hyperlink>
      <w:r w:rsidRPr="00ED1406">
        <w:rPr>
          <w:rFonts w:ascii="Times New Roman" w:hAnsi="Times New Roman" w:cs="Times New Roman"/>
          <w:sz w:val="28"/>
          <w:szCs w:val="28"/>
        </w:rPr>
        <w:t xml:space="preserve"> Совета депутатов Грязинского муниципального района Липецкой обл. от </w:t>
      </w:r>
      <w:r w:rsidRPr="00ED1406">
        <w:rPr>
          <w:rFonts w:ascii="Times New Roman" w:hAnsi="Times New Roman" w:cs="Times New Roman"/>
          <w:color w:val="0000FF"/>
          <w:sz w:val="28"/>
          <w:szCs w:val="28"/>
        </w:rPr>
        <w:t>23.08.2022 № 121</w:t>
      </w:r>
      <w:r w:rsidRPr="00ED1406">
        <w:rPr>
          <w:rFonts w:ascii="Times New Roman" w:hAnsi="Times New Roman" w:cs="Times New Roman"/>
          <w:sz w:val="28"/>
          <w:szCs w:val="28"/>
        </w:rPr>
        <w:t>)</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Стратегия Грязинского района позволит добиться устойчивого социально-экономического роста на основе комплексного использования экономических, социальных, культурных, территориальных и других факторов, а также имеющихся природных, трудовых, производственных, предпринимательских и информационных ресурсов. Так как все экономические ресурсы имеются в ограниченном количестве, то стратегия позволяет добиться их эффективного использования путем выбора приоритетных целей и направлений развития, являющихся наиболее перспективными.</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Данная Стратегия является действенным инструментом приобретения и поддержания конкурентных преимуществ района при соперничестве с другими районами области за инвестиции, высококвалифицированную рабочую силу и передовые позиции в международном сотрудничестве. Она содержит основные принципы, дает ориентиры для развития предпринимательства и инвестиционной деятельности.</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xml:space="preserve">Наличие Стратегии является обязательным условием, выдвигаемым при реализации крупных инвестиционных проектов с иностранным участием, что </w:t>
      </w:r>
      <w:r w:rsidRPr="00ED1406">
        <w:rPr>
          <w:rFonts w:ascii="Times New Roman" w:hAnsi="Times New Roman" w:cs="Times New Roman"/>
          <w:sz w:val="28"/>
          <w:szCs w:val="28"/>
        </w:rPr>
        <w:lastRenderedPageBreak/>
        <w:t>имеет особое значение для Грязинского района, имеющего на своей территории особую экономическую зону промышленно-производственного типа.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Стратегия социально-экономического развития Грязинского района на период до 2026 года нацелена на повышение качества и уровня жизни населения, развитие производственного, трудового, интеллектуального потенциала района.</w:t>
      </w:r>
    </w:p>
    <w:p w:rsidR="00452847" w:rsidRPr="00ED1406" w:rsidRDefault="00452847">
      <w:pPr>
        <w:pStyle w:val="ConsPlusNormal"/>
        <w:jc w:val="both"/>
        <w:rPr>
          <w:rFonts w:ascii="Times New Roman" w:hAnsi="Times New Roman" w:cs="Times New Roman"/>
          <w:sz w:val="28"/>
          <w:szCs w:val="28"/>
        </w:rPr>
      </w:pPr>
      <w:r w:rsidRPr="00ED1406">
        <w:rPr>
          <w:rFonts w:ascii="Times New Roman" w:hAnsi="Times New Roman" w:cs="Times New Roman"/>
          <w:sz w:val="28"/>
          <w:szCs w:val="28"/>
        </w:rPr>
        <w:t xml:space="preserve">(в ред. </w:t>
      </w:r>
      <w:hyperlink r:id="rId18">
        <w:r w:rsidRPr="00ED1406">
          <w:rPr>
            <w:rFonts w:ascii="Times New Roman" w:hAnsi="Times New Roman" w:cs="Times New Roman"/>
            <w:color w:val="0000FF"/>
            <w:sz w:val="28"/>
            <w:szCs w:val="28"/>
          </w:rPr>
          <w:t>решения</w:t>
        </w:r>
      </w:hyperlink>
      <w:r w:rsidRPr="00ED1406">
        <w:rPr>
          <w:rFonts w:ascii="Times New Roman" w:hAnsi="Times New Roman" w:cs="Times New Roman"/>
          <w:sz w:val="28"/>
          <w:szCs w:val="28"/>
        </w:rPr>
        <w:t xml:space="preserve"> Совета депутатов Грязинского муниципального района Липецкой обл. </w:t>
      </w:r>
      <w:r w:rsidRPr="00ED1406">
        <w:rPr>
          <w:rFonts w:ascii="Times New Roman" w:hAnsi="Times New Roman" w:cs="Times New Roman"/>
          <w:color w:val="0000FF"/>
          <w:sz w:val="28"/>
          <w:szCs w:val="28"/>
        </w:rPr>
        <w:t>от 23.08.2022 № 121</w:t>
      </w:r>
      <w:r w:rsidRPr="00ED1406">
        <w:rPr>
          <w:rFonts w:ascii="Times New Roman" w:hAnsi="Times New Roman" w:cs="Times New Roman"/>
          <w:sz w:val="28"/>
          <w:szCs w:val="28"/>
        </w:rPr>
        <w:t>)</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Для достижения данной цели в рамках Стратегии поставлены следующие задачи:</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перспективное развитие промышленности и сельского хозяйства;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наращивание объемов жилищного строительства, обеспечение населения качественным и доступным жильем;</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обеспечение населения района качественными бытовыми услугами и доступными качественными товарами, в том числе местного производства;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развитие малого бизнеса, развитие кооперации и тесного взаимодействия между предприятиями малого бизнеса и крупными предприятиями района (в том числе с иностранным участием);</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обеспечение отраслей района качественными трудовыми ресурсами;</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всемерное способствование улучшению демографической ситуации в районе;</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развитие образования, культуры, спорта, туризма;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расширение спектра банковских услуг, доступных жителям района;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обеспечение особого внимания вопросам охраны окружающей среды, принятие во внимание необходимости комплекса мер по охране окружающей среды при реализации проектов экономического характера;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привлечение инвестиций в отрасли района в целях их развития (в том числе иностранных инвестиций) за счет создания выгодных условий для инвесторов на территории района, использование преимуществ района, связанных с наличием на его территории особой экономической зоны промышленно-производственного типа;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расширение международных связей за счет ориентации производств района на экспорт, привлечения иностранных инвестиций, различных форм международного сотрудничества.</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xml:space="preserve">Стратегия основывается на положениях разработанных Правительством Российской Федерации программных документов: Основных направлений социально-экономического развития России на долгосрочную перспективу, </w:t>
      </w:r>
      <w:hyperlink r:id="rId19">
        <w:r w:rsidRPr="00ED1406">
          <w:rPr>
            <w:rFonts w:ascii="Times New Roman" w:hAnsi="Times New Roman" w:cs="Times New Roman"/>
            <w:color w:val="0000FF"/>
            <w:sz w:val="28"/>
            <w:szCs w:val="28"/>
          </w:rPr>
          <w:t>Концепции</w:t>
        </w:r>
      </w:hyperlink>
      <w:r w:rsidRPr="00ED1406">
        <w:rPr>
          <w:rFonts w:ascii="Times New Roman" w:hAnsi="Times New Roman" w:cs="Times New Roman"/>
          <w:sz w:val="28"/>
          <w:szCs w:val="28"/>
        </w:rPr>
        <w:t xml:space="preserve"> долгосрочного социально-экономического развития Российской Федерации на период до 2020 года, </w:t>
      </w:r>
      <w:hyperlink r:id="rId20">
        <w:r w:rsidRPr="00ED1406">
          <w:rPr>
            <w:rFonts w:ascii="Times New Roman" w:hAnsi="Times New Roman" w:cs="Times New Roman"/>
            <w:color w:val="0000FF"/>
            <w:sz w:val="28"/>
            <w:szCs w:val="28"/>
          </w:rPr>
          <w:t>Программы</w:t>
        </w:r>
      </w:hyperlink>
      <w:r w:rsidRPr="00ED1406">
        <w:rPr>
          <w:rFonts w:ascii="Times New Roman" w:hAnsi="Times New Roman" w:cs="Times New Roman"/>
          <w:sz w:val="28"/>
          <w:szCs w:val="28"/>
        </w:rPr>
        <w:t xml:space="preserve"> социально-экономического развития Российской Федерации на среднесрочную перспективу (2005 - 2008 годы), </w:t>
      </w:r>
      <w:hyperlink r:id="rId21">
        <w:r w:rsidRPr="00ED1406">
          <w:rPr>
            <w:rFonts w:ascii="Times New Roman" w:hAnsi="Times New Roman" w:cs="Times New Roman"/>
            <w:color w:val="0000FF"/>
            <w:sz w:val="28"/>
            <w:szCs w:val="28"/>
          </w:rPr>
          <w:t>Стратегии</w:t>
        </w:r>
      </w:hyperlink>
      <w:r w:rsidRPr="00ED1406">
        <w:rPr>
          <w:rFonts w:ascii="Times New Roman" w:hAnsi="Times New Roman" w:cs="Times New Roman"/>
          <w:sz w:val="28"/>
          <w:szCs w:val="28"/>
        </w:rPr>
        <w:t xml:space="preserve"> социально-экономического развития Липецкой области на период до 2020 года, Основных направлениях деятельности Правительства Российской Федерации.</w:t>
      </w:r>
    </w:p>
    <w:p w:rsidR="00452847" w:rsidRPr="00ED1406" w:rsidRDefault="00452847">
      <w:pPr>
        <w:pStyle w:val="ConsPlusNormal"/>
        <w:jc w:val="both"/>
        <w:rPr>
          <w:rFonts w:ascii="Times New Roman" w:hAnsi="Times New Roman" w:cs="Times New Roman"/>
          <w:sz w:val="28"/>
          <w:szCs w:val="28"/>
        </w:rPr>
      </w:pPr>
      <w:r w:rsidRPr="00ED1406">
        <w:rPr>
          <w:rFonts w:ascii="Times New Roman" w:hAnsi="Times New Roman" w:cs="Times New Roman"/>
          <w:sz w:val="28"/>
          <w:szCs w:val="28"/>
        </w:rPr>
        <w:t xml:space="preserve">(в ред. </w:t>
      </w:r>
      <w:hyperlink r:id="rId22">
        <w:r w:rsidRPr="00ED1406">
          <w:rPr>
            <w:rFonts w:ascii="Times New Roman" w:hAnsi="Times New Roman" w:cs="Times New Roman"/>
            <w:color w:val="0000FF"/>
            <w:sz w:val="28"/>
            <w:szCs w:val="28"/>
          </w:rPr>
          <w:t>решения</w:t>
        </w:r>
      </w:hyperlink>
      <w:r w:rsidRPr="00ED1406">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 xml:space="preserve">В Стратегии учтено решение задач, поставленных Президентом Российской Федерации в ежегодном Послании Федеральному Собранию Российской Федерации, выполнение поручений, содержащихся в Указах Президента Российской Федерации от 07 мая 2012 года N 596 - 606, от 07 мая 2018 года </w:t>
      </w:r>
      <w:hyperlink r:id="rId23">
        <w:r w:rsidRPr="00ED1406">
          <w:rPr>
            <w:rFonts w:ascii="Times New Roman" w:hAnsi="Times New Roman" w:cs="Times New Roman"/>
            <w:color w:val="0000FF"/>
            <w:sz w:val="28"/>
            <w:szCs w:val="28"/>
          </w:rPr>
          <w:t>N 204</w:t>
        </w:r>
      </w:hyperlink>
      <w:r w:rsidRPr="00ED1406">
        <w:rPr>
          <w:rFonts w:ascii="Times New Roman" w:hAnsi="Times New Roman" w:cs="Times New Roman"/>
          <w:sz w:val="28"/>
          <w:szCs w:val="28"/>
        </w:rPr>
        <w:t>, реализация приоритетных проектов (программ), региональных проектов (программ), муниципальных программ.</w:t>
      </w:r>
    </w:p>
    <w:p w:rsidR="00452847" w:rsidRPr="00ED1406" w:rsidRDefault="00452847">
      <w:pPr>
        <w:pStyle w:val="ConsPlusNormal"/>
        <w:jc w:val="both"/>
        <w:rPr>
          <w:rFonts w:ascii="Times New Roman" w:hAnsi="Times New Roman" w:cs="Times New Roman"/>
          <w:sz w:val="28"/>
          <w:szCs w:val="28"/>
        </w:rPr>
      </w:pPr>
      <w:r w:rsidRPr="00ED1406">
        <w:rPr>
          <w:rFonts w:ascii="Times New Roman" w:hAnsi="Times New Roman" w:cs="Times New Roman"/>
          <w:sz w:val="28"/>
          <w:szCs w:val="28"/>
        </w:rPr>
        <w:t xml:space="preserve">(в ред. </w:t>
      </w:r>
      <w:hyperlink r:id="rId24">
        <w:r w:rsidRPr="00ED1406">
          <w:rPr>
            <w:rFonts w:ascii="Times New Roman" w:hAnsi="Times New Roman" w:cs="Times New Roman"/>
            <w:color w:val="0000FF"/>
            <w:sz w:val="28"/>
            <w:szCs w:val="28"/>
          </w:rPr>
          <w:t>решения</w:t>
        </w:r>
      </w:hyperlink>
      <w:r w:rsidRPr="00ED1406">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ED1406" w:rsidRDefault="00452847">
      <w:pPr>
        <w:pStyle w:val="ConsPlusNormal"/>
        <w:spacing w:before="200"/>
        <w:ind w:firstLine="540"/>
        <w:jc w:val="both"/>
        <w:rPr>
          <w:rFonts w:ascii="Times New Roman" w:hAnsi="Times New Roman" w:cs="Times New Roman"/>
          <w:sz w:val="28"/>
          <w:szCs w:val="28"/>
        </w:rPr>
      </w:pPr>
      <w:r w:rsidRPr="00ED1406">
        <w:rPr>
          <w:rFonts w:ascii="Times New Roman" w:hAnsi="Times New Roman" w:cs="Times New Roman"/>
          <w:sz w:val="28"/>
          <w:szCs w:val="28"/>
        </w:rPr>
        <w:t>На схеме показаны документы стратегического планирования района, определяющие устойчивое социально-экономическое развитие Грязинского муниципального района Липецкой области.</w:t>
      </w:r>
    </w:p>
    <w:p w:rsidR="00452847" w:rsidRPr="00ED1406" w:rsidRDefault="00452847">
      <w:pPr>
        <w:pStyle w:val="ConsPlusNormal"/>
        <w:jc w:val="both"/>
        <w:rPr>
          <w:rFonts w:ascii="Times New Roman" w:hAnsi="Times New Roman" w:cs="Times New Roman"/>
          <w:sz w:val="28"/>
          <w:szCs w:val="28"/>
        </w:rPr>
      </w:pPr>
      <w:r w:rsidRPr="00ED1406">
        <w:rPr>
          <w:rFonts w:ascii="Times New Roman" w:hAnsi="Times New Roman" w:cs="Times New Roman"/>
          <w:sz w:val="28"/>
          <w:szCs w:val="28"/>
        </w:rPr>
        <w:t xml:space="preserve">(абзац введен </w:t>
      </w:r>
      <w:hyperlink r:id="rId25">
        <w:r w:rsidRPr="00ED1406">
          <w:rPr>
            <w:rFonts w:ascii="Times New Roman" w:hAnsi="Times New Roman" w:cs="Times New Roman"/>
            <w:color w:val="0000FF"/>
            <w:sz w:val="28"/>
            <w:szCs w:val="28"/>
          </w:rPr>
          <w:t>решением</w:t>
        </w:r>
      </w:hyperlink>
      <w:r w:rsidRPr="00ED1406">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ED1406" w:rsidRDefault="00452847">
      <w:pPr>
        <w:pStyle w:val="ConsPlusNormal"/>
        <w:jc w:val="both"/>
        <w:rPr>
          <w:rFonts w:ascii="Times New Roman" w:hAnsi="Times New Roman" w:cs="Times New Roman"/>
        </w:rPr>
      </w:pP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956"/>
        <w:gridCol w:w="3104"/>
        <w:gridCol w:w="1625"/>
      </w:tblGrid>
      <w:tr w:rsidR="00ED1406" w:rsidTr="00ED1406">
        <w:trPr>
          <w:trHeight w:val="907"/>
          <w:jc w:val="center"/>
        </w:trPr>
        <w:tc>
          <w:tcPr>
            <w:tcW w:w="9431" w:type="dxa"/>
            <w:gridSpan w:val="4"/>
            <w:tcBorders>
              <w:top w:val="single" w:sz="12" w:space="0" w:color="984806"/>
              <w:left w:val="single" w:sz="12" w:space="0" w:color="984806"/>
              <w:bottom w:val="single" w:sz="12" w:space="0" w:color="984806"/>
              <w:right w:val="single" w:sz="12" w:space="0" w:color="984806"/>
            </w:tcBorders>
            <w:shd w:val="clear" w:color="auto" w:fill="E5DFEC"/>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2496"/>
              <w:gridCol w:w="555"/>
              <w:gridCol w:w="2496"/>
              <w:gridCol w:w="610"/>
              <w:gridCol w:w="2496"/>
            </w:tblGrid>
            <w:tr w:rsidR="00ED1406" w:rsidTr="00ED1406">
              <w:trPr>
                <w:trHeight w:val="710"/>
                <w:jc w:val="center"/>
              </w:trPr>
              <w:tc>
                <w:tcPr>
                  <w:tcW w:w="2496" w:type="dxa"/>
                  <w:tcBorders>
                    <w:top w:val="single" w:sz="12" w:space="0" w:color="984806"/>
                    <w:left w:val="single" w:sz="12" w:space="0" w:color="984806"/>
                    <w:bottom w:val="single" w:sz="12" w:space="0" w:color="984806"/>
                    <w:right w:val="single" w:sz="12" w:space="0" w:color="984806"/>
                  </w:tcBorders>
                  <w:shd w:val="clear" w:color="auto" w:fill="FDE9D9"/>
                  <w:vAlign w:val="center"/>
                </w:tcPr>
                <w:p w:rsidR="00ED1406" w:rsidRPr="00EC1A1B" w:rsidRDefault="00ED1406" w:rsidP="00ED1406">
                  <w:pPr>
                    <w:jc w:val="center"/>
                  </w:pPr>
                  <w:r w:rsidRPr="00EC1A1B">
                    <w:t>Прогноз социально- экономического развития Грязинского муниципального района на долгосрочный период</w:t>
                  </w:r>
                </w:p>
              </w:tc>
              <w:tc>
                <w:tcPr>
                  <w:tcW w:w="555" w:type="dxa"/>
                  <w:tcBorders>
                    <w:top w:val="nil"/>
                    <w:left w:val="single" w:sz="12" w:space="0" w:color="984806"/>
                    <w:bottom w:val="nil"/>
                    <w:right w:val="single" w:sz="12" w:space="0" w:color="984806"/>
                  </w:tcBorders>
                  <w:shd w:val="clear" w:color="auto" w:fill="auto"/>
                  <w:vAlign w:val="center"/>
                </w:tcPr>
                <w:p w:rsidR="00ED1406" w:rsidRPr="00EC1A1B" w:rsidRDefault="00ED1406" w:rsidP="00ED1406">
                  <w:pPr>
                    <w:jc w:val="center"/>
                  </w:pPr>
                </w:p>
              </w:tc>
              <w:tc>
                <w:tcPr>
                  <w:tcW w:w="2496" w:type="dxa"/>
                  <w:tcBorders>
                    <w:top w:val="single" w:sz="12" w:space="0" w:color="984806"/>
                    <w:left w:val="single" w:sz="12" w:space="0" w:color="984806"/>
                    <w:bottom w:val="single" w:sz="12" w:space="0" w:color="984806"/>
                    <w:right w:val="single" w:sz="12" w:space="0" w:color="984806"/>
                  </w:tcBorders>
                  <w:shd w:val="clear" w:color="auto" w:fill="FDE9D9"/>
                  <w:vAlign w:val="center"/>
                </w:tcPr>
                <w:p w:rsidR="00ED1406" w:rsidRPr="00EC1A1B" w:rsidRDefault="00ED1406" w:rsidP="00ED1406">
                  <w:pPr>
                    <w:jc w:val="center"/>
                    <w:rPr>
                      <w:sz w:val="27"/>
                    </w:rPr>
                  </w:pPr>
                  <w:r w:rsidRPr="00EC1A1B">
                    <w:t xml:space="preserve"> Бюджетный прогноз Грязинского муниципального района на долгосрочный период </w:t>
                  </w:r>
                </w:p>
              </w:tc>
              <w:tc>
                <w:tcPr>
                  <w:tcW w:w="610" w:type="dxa"/>
                  <w:tcBorders>
                    <w:top w:val="nil"/>
                    <w:left w:val="single" w:sz="12" w:space="0" w:color="984806"/>
                    <w:bottom w:val="nil"/>
                    <w:right w:val="single" w:sz="12" w:space="0" w:color="984806"/>
                  </w:tcBorders>
                  <w:shd w:val="clear" w:color="auto" w:fill="auto"/>
                  <w:vAlign w:val="center"/>
                </w:tcPr>
                <w:p w:rsidR="00ED1406" w:rsidRPr="00EC1A1B" w:rsidRDefault="00ED1406" w:rsidP="00ED1406">
                  <w:pPr>
                    <w:jc w:val="center"/>
                    <w:rPr>
                      <w:sz w:val="27"/>
                    </w:rPr>
                  </w:pPr>
                </w:p>
              </w:tc>
              <w:tc>
                <w:tcPr>
                  <w:tcW w:w="2496" w:type="dxa"/>
                  <w:tcBorders>
                    <w:top w:val="single" w:sz="12" w:space="0" w:color="984806"/>
                    <w:left w:val="single" w:sz="12" w:space="0" w:color="984806"/>
                    <w:bottom w:val="single" w:sz="12" w:space="0" w:color="984806"/>
                    <w:right w:val="single" w:sz="12" w:space="0" w:color="984806"/>
                  </w:tcBorders>
                  <w:shd w:val="clear" w:color="auto" w:fill="FDE9D9"/>
                  <w:vAlign w:val="center"/>
                </w:tcPr>
                <w:p w:rsidR="00ED1406" w:rsidRPr="00EC1A1B" w:rsidRDefault="00ED1406" w:rsidP="00ED1406">
                  <w:pPr>
                    <w:jc w:val="center"/>
                    <w:rPr>
                      <w:sz w:val="27"/>
                    </w:rPr>
                  </w:pPr>
                  <w:r w:rsidRPr="00EC1A1B">
                    <w:t>Прогноз социально- экономического развития Грязинского муниципального района на среднесрочный период</w:t>
                  </w:r>
                  <w:r w:rsidRPr="00EC1A1B">
                    <w:rPr>
                      <w:sz w:val="27"/>
                    </w:rPr>
                    <w:t xml:space="preserve">  </w:t>
                  </w:r>
                </w:p>
              </w:tc>
            </w:tr>
          </w:tbl>
          <w:p w:rsidR="00ED1406" w:rsidRPr="00EC1A1B" w:rsidRDefault="00ED1406" w:rsidP="00ED1406">
            <w:pPr>
              <w:jc w:val="center"/>
              <w:rPr>
                <w:sz w:val="27"/>
              </w:rPr>
            </w:pPr>
          </w:p>
        </w:tc>
      </w:tr>
      <w:tr w:rsidR="00ED1406" w:rsidTr="00ED1406">
        <w:trPr>
          <w:trHeight w:val="259"/>
          <w:jc w:val="center"/>
        </w:trPr>
        <w:tc>
          <w:tcPr>
            <w:tcW w:w="4702" w:type="dxa"/>
            <w:gridSpan w:val="2"/>
            <w:tcBorders>
              <w:top w:val="single" w:sz="12" w:space="0" w:color="984806"/>
              <w:left w:val="nil"/>
              <w:bottom w:val="nil"/>
              <w:right w:val="single" w:sz="12" w:space="0" w:color="984806"/>
            </w:tcBorders>
            <w:shd w:val="clear" w:color="auto" w:fill="auto"/>
          </w:tcPr>
          <w:p w:rsidR="00ED1406" w:rsidRPr="00EC1A1B" w:rsidRDefault="00ED1406" w:rsidP="00ED1406">
            <w:pPr>
              <w:jc w:val="center"/>
              <w:rPr>
                <w:sz w:val="27"/>
              </w:rPr>
            </w:pPr>
          </w:p>
        </w:tc>
        <w:tc>
          <w:tcPr>
            <w:tcW w:w="4729" w:type="dxa"/>
            <w:gridSpan w:val="2"/>
            <w:tcBorders>
              <w:top w:val="single" w:sz="12" w:space="0" w:color="984806"/>
              <w:left w:val="single" w:sz="12" w:space="0" w:color="984806"/>
              <w:bottom w:val="nil"/>
              <w:right w:val="nil"/>
            </w:tcBorders>
            <w:shd w:val="clear" w:color="auto" w:fill="auto"/>
          </w:tcPr>
          <w:p w:rsidR="00ED1406" w:rsidRPr="00EC1A1B" w:rsidRDefault="00ED1406" w:rsidP="00ED1406">
            <w:pPr>
              <w:jc w:val="center"/>
              <w:rPr>
                <w:sz w:val="27"/>
              </w:rPr>
            </w:pPr>
          </w:p>
        </w:tc>
      </w:tr>
      <w:tr w:rsidR="00ED1406" w:rsidTr="00ED1406">
        <w:trPr>
          <w:trHeight w:val="313"/>
          <w:jc w:val="center"/>
        </w:trPr>
        <w:tc>
          <w:tcPr>
            <w:tcW w:w="1746" w:type="dxa"/>
            <w:tcBorders>
              <w:top w:val="nil"/>
              <w:left w:val="nil"/>
              <w:bottom w:val="nil"/>
              <w:right w:val="single" w:sz="12" w:space="0" w:color="984806"/>
            </w:tcBorders>
            <w:shd w:val="clear" w:color="auto" w:fill="auto"/>
            <w:vAlign w:val="center"/>
          </w:tcPr>
          <w:p w:rsidR="00ED1406" w:rsidRPr="00EC1A1B" w:rsidRDefault="00ED1406" w:rsidP="00ED1406">
            <w:pPr>
              <w:jc w:val="both"/>
              <w:rPr>
                <w:sz w:val="27"/>
              </w:rPr>
            </w:pPr>
          </w:p>
        </w:tc>
        <w:tc>
          <w:tcPr>
            <w:tcW w:w="6060" w:type="dxa"/>
            <w:gridSpan w:val="2"/>
            <w:tcBorders>
              <w:top w:val="single" w:sz="12" w:space="0" w:color="984806"/>
              <w:left w:val="single" w:sz="12" w:space="0" w:color="984806"/>
              <w:bottom w:val="single" w:sz="12" w:space="0" w:color="984806"/>
              <w:right w:val="nil"/>
            </w:tcBorders>
            <w:shd w:val="clear" w:color="auto" w:fill="E5B8B7"/>
            <w:vAlign w:val="center"/>
          </w:tcPr>
          <w:p w:rsidR="00ED1406" w:rsidRPr="00EC1A1B" w:rsidRDefault="00ED1406" w:rsidP="00ED1406">
            <w:pPr>
              <w:jc w:val="both"/>
              <w:rPr>
                <w:sz w:val="27"/>
              </w:rPr>
            </w:pPr>
            <w:r w:rsidRPr="00EC1A1B">
              <w:rPr>
                <w:sz w:val="27"/>
              </w:rPr>
              <w:t>Стратегия социально- экономического развития Грязинского муниципального района на период до 2024 года</w:t>
            </w:r>
          </w:p>
        </w:tc>
        <w:tc>
          <w:tcPr>
            <w:tcW w:w="1624" w:type="dxa"/>
            <w:tcBorders>
              <w:top w:val="nil"/>
              <w:left w:val="single" w:sz="12" w:space="0" w:color="984806"/>
              <w:bottom w:val="nil"/>
              <w:right w:val="nil"/>
            </w:tcBorders>
            <w:shd w:val="clear" w:color="auto" w:fill="auto"/>
            <w:vAlign w:val="center"/>
          </w:tcPr>
          <w:p w:rsidR="00ED1406" w:rsidRPr="00EC1A1B" w:rsidRDefault="00ED1406" w:rsidP="00ED1406">
            <w:pPr>
              <w:jc w:val="both"/>
              <w:rPr>
                <w:sz w:val="27"/>
              </w:rPr>
            </w:pPr>
          </w:p>
        </w:tc>
      </w:tr>
      <w:tr w:rsidR="00ED1406" w:rsidTr="00ED1406">
        <w:trPr>
          <w:trHeight w:val="259"/>
          <w:jc w:val="center"/>
        </w:trPr>
        <w:tc>
          <w:tcPr>
            <w:tcW w:w="4702" w:type="dxa"/>
            <w:gridSpan w:val="2"/>
            <w:tcBorders>
              <w:top w:val="nil"/>
              <w:left w:val="nil"/>
              <w:right w:val="single" w:sz="12" w:space="0" w:color="984806"/>
            </w:tcBorders>
            <w:shd w:val="clear" w:color="auto" w:fill="auto"/>
          </w:tcPr>
          <w:p w:rsidR="00ED1406" w:rsidRPr="00EC1A1B" w:rsidRDefault="00ED1406" w:rsidP="00ED1406">
            <w:pPr>
              <w:jc w:val="center"/>
              <w:rPr>
                <w:sz w:val="27"/>
              </w:rPr>
            </w:pPr>
          </w:p>
        </w:tc>
        <w:tc>
          <w:tcPr>
            <w:tcW w:w="4729" w:type="dxa"/>
            <w:gridSpan w:val="2"/>
            <w:tcBorders>
              <w:top w:val="nil"/>
              <w:left w:val="single" w:sz="12" w:space="0" w:color="984806"/>
              <w:right w:val="nil"/>
            </w:tcBorders>
            <w:shd w:val="clear" w:color="auto" w:fill="auto"/>
          </w:tcPr>
          <w:p w:rsidR="00ED1406" w:rsidRPr="00EC1A1B" w:rsidRDefault="00ED1406" w:rsidP="00ED1406">
            <w:pPr>
              <w:jc w:val="center"/>
              <w:rPr>
                <w:sz w:val="27"/>
              </w:rPr>
            </w:pPr>
          </w:p>
        </w:tc>
      </w:tr>
      <w:tr w:rsidR="00ED1406" w:rsidTr="00ED1406">
        <w:trPr>
          <w:trHeight w:val="27"/>
          <w:jc w:val="center"/>
        </w:trPr>
        <w:tc>
          <w:tcPr>
            <w:tcW w:w="9431" w:type="dxa"/>
            <w:gridSpan w:val="4"/>
            <w:tcBorders>
              <w:top w:val="single" w:sz="12" w:space="0" w:color="984806"/>
              <w:left w:val="single" w:sz="12" w:space="0" w:color="984806"/>
              <w:bottom w:val="single" w:sz="12" w:space="0" w:color="984806"/>
              <w:right w:val="single" w:sz="12" w:space="0" w:color="984806"/>
            </w:tcBorders>
            <w:shd w:val="clear" w:color="auto" w:fill="E5DFEC"/>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2496"/>
              <w:gridCol w:w="555"/>
              <w:gridCol w:w="2496"/>
              <w:gridCol w:w="610"/>
              <w:gridCol w:w="2496"/>
            </w:tblGrid>
            <w:tr w:rsidR="00ED1406" w:rsidTr="00ED1406">
              <w:trPr>
                <w:trHeight w:val="710"/>
                <w:jc w:val="center"/>
              </w:trPr>
              <w:tc>
                <w:tcPr>
                  <w:tcW w:w="2496" w:type="dxa"/>
                  <w:tcBorders>
                    <w:top w:val="single" w:sz="12" w:space="0" w:color="984806"/>
                    <w:left w:val="single" w:sz="12" w:space="0" w:color="984806"/>
                    <w:bottom w:val="single" w:sz="12" w:space="0" w:color="984806"/>
                    <w:right w:val="single" w:sz="12" w:space="0" w:color="984806"/>
                  </w:tcBorders>
                  <w:shd w:val="clear" w:color="auto" w:fill="FDE9D9"/>
                  <w:vAlign w:val="center"/>
                </w:tcPr>
                <w:p w:rsidR="00ED1406" w:rsidRPr="00EC1A1B" w:rsidRDefault="00ED1406" w:rsidP="00ED1406">
                  <w:pPr>
                    <w:jc w:val="center"/>
                  </w:pPr>
                  <w:r w:rsidRPr="00EC1A1B">
                    <w:t>План мероприятий по реализации стратегии социально- экономического развития Грязинского муниципального района</w:t>
                  </w:r>
                </w:p>
              </w:tc>
              <w:tc>
                <w:tcPr>
                  <w:tcW w:w="555" w:type="dxa"/>
                  <w:tcBorders>
                    <w:top w:val="nil"/>
                    <w:left w:val="single" w:sz="12" w:space="0" w:color="984806"/>
                    <w:bottom w:val="nil"/>
                    <w:right w:val="single" w:sz="12" w:space="0" w:color="984806"/>
                  </w:tcBorders>
                  <w:shd w:val="clear" w:color="auto" w:fill="auto"/>
                  <w:vAlign w:val="center"/>
                </w:tcPr>
                <w:p w:rsidR="00ED1406" w:rsidRPr="00EC1A1B" w:rsidRDefault="00ED1406" w:rsidP="00ED1406">
                  <w:pPr>
                    <w:jc w:val="center"/>
                    <w:rPr>
                      <w:sz w:val="27"/>
                    </w:rPr>
                  </w:pPr>
                </w:p>
              </w:tc>
              <w:tc>
                <w:tcPr>
                  <w:tcW w:w="2496" w:type="dxa"/>
                  <w:tcBorders>
                    <w:top w:val="single" w:sz="12" w:space="0" w:color="984806"/>
                    <w:left w:val="single" w:sz="12" w:space="0" w:color="984806"/>
                    <w:bottom w:val="single" w:sz="12" w:space="0" w:color="984806"/>
                    <w:right w:val="single" w:sz="12" w:space="0" w:color="984806"/>
                  </w:tcBorders>
                  <w:shd w:val="clear" w:color="auto" w:fill="FDE9D9"/>
                  <w:vAlign w:val="center"/>
                </w:tcPr>
                <w:p w:rsidR="00ED1406" w:rsidRPr="00EC1A1B" w:rsidRDefault="00ED1406" w:rsidP="00ED1406">
                  <w:pPr>
                    <w:jc w:val="center"/>
                  </w:pPr>
                  <w:r w:rsidRPr="00EC1A1B">
                    <w:t>Муниципальные программы Грязинского муниципального района</w:t>
                  </w:r>
                </w:p>
              </w:tc>
              <w:tc>
                <w:tcPr>
                  <w:tcW w:w="610" w:type="dxa"/>
                  <w:tcBorders>
                    <w:top w:val="nil"/>
                    <w:left w:val="single" w:sz="12" w:space="0" w:color="984806"/>
                    <w:bottom w:val="nil"/>
                    <w:right w:val="single" w:sz="12" w:space="0" w:color="984806"/>
                  </w:tcBorders>
                  <w:shd w:val="clear" w:color="auto" w:fill="auto"/>
                  <w:vAlign w:val="center"/>
                </w:tcPr>
                <w:p w:rsidR="00ED1406" w:rsidRPr="00EC1A1B" w:rsidRDefault="00ED1406" w:rsidP="00ED1406">
                  <w:pPr>
                    <w:jc w:val="center"/>
                    <w:rPr>
                      <w:sz w:val="27"/>
                    </w:rPr>
                  </w:pPr>
                </w:p>
              </w:tc>
              <w:tc>
                <w:tcPr>
                  <w:tcW w:w="2496" w:type="dxa"/>
                  <w:tcBorders>
                    <w:top w:val="single" w:sz="12" w:space="0" w:color="984806"/>
                    <w:left w:val="single" w:sz="12" w:space="0" w:color="984806"/>
                    <w:bottom w:val="single" w:sz="12" w:space="0" w:color="984806"/>
                    <w:right w:val="single" w:sz="12" w:space="0" w:color="984806"/>
                  </w:tcBorders>
                  <w:shd w:val="clear" w:color="auto" w:fill="FDE9D9"/>
                  <w:vAlign w:val="center"/>
                </w:tcPr>
                <w:p w:rsidR="00ED1406" w:rsidRPr="00EC1A1B" w:rsidRDefault="00ED1406" w:rsidP="00ED1406">
                  <w:pPr>
                    <w:jc w:val="center"/>
                  </w:pPr>
                  <w:r w:rsidRPr="00EC1A1B">
                    <w:t>Схема территориального планирования Грязинского муниципального района</w:t>
                  </w:r>
                </w:p>
              </w:tc>
            </w:tr>
          </w:tbl>
          <w:p w:rsidR="00ED1406" w:rsidRPr="00EC1A1B" w:rsidRDefault="00ED1406" w:rsidP="00ED1406">
            <w:pPr>
              <w:jc w:val="center"/>
              <w:rPr>
                <w:sz w:val="27"/>
              </w:rPr>
            </w:pPr>
          </w:p>
        </w:tc>
      </w:tr>
    </w:tbl>
    <w:p w:rsidR="00452847" w:rsidRPr="00DB3BCA" w:rsidRDefault="00ED1406">
      <w:pPr>
        <w:pStyle w:val="ConsPlusNormal"/>
        <w:jc w:val="both"/>
        <w:rPr>
          <w:rFonts w:ascii="Times New Roman" w:hAnsi="Times New Roman" w:cs="Times New Roman"/>
          <w:sz w:val="28"/>
          <w:szCs w:val="28"/>
        </w:rPr>
      </w:pPr>
      <w:r w:rsidRPr="00DB3BCA">
        <w:rPr>
          <w:rFonts w:ascii="Times New Roman" w:hAnsi="Times New Roman" w:cs="Times New Roman"/>
          <w:sz w:val="28"/>
          <w:szCs w:val="28"/>
        </w:rPr>
        <w:t xml:space="preserve"> </w:t>
      </w:r>
      <w:r w:rsidR="00452847" w:rsidRPr="00DB3BCA">
        <w:rPr>
          <w:rFonts w:ascii="Times New Roman" w:hAnsi="Times New Roman" w:cs="Times New Roman"/>
          <w:sz w:val="28"/>
          <w:szCs w:val="28"/>
        </w:rPr>
        <w:t xml:space="preserve">(введено </w:t>
      </w:r>
      <w:hyperlink r:id="rId26">
        <w:r w:rsidR="00452847" w:rsidRPr="00DB3BCA">
          <w:rPr>
            <w:rFonts w:ascii="Times New Roman" w:hAnsi="Times New Roman" w:cs="Times New Roman"/>
            <w:color w:val="0000FF"/>
            <w:sz w:val="28"/>
            <w:szCs w:val="28"/>
          </w:rPr>
          <w:t>решением</w:t>
        </w:r>
      </w:hyperlink>
      <w:r w:rsidR="00452847" w:rsidRPr="00DB3BCA">
        <w:rPr>
          <w:rFonts w:ascii="Times New Roman" w:hAnsi="Times New Roman" w:cs="Times New Roman"/>
          <w:sz w:val="28"/>
          <w:szCs w:val="28"/>
        </w:rPr>
        <w:t xml:space="preserve"> Совета депутатов Грязинского муниципального района </w:t>
      </w:r>
      <w:r w:rsidR="00452847" w:rsidRPr="00DB3BCA">
        <w:rPr>
          <w:rFonts w:ascii="Times New Roman" w:hAnsi="Times New Roman" w:cs="Times New Roman"/>
          <w:sz w:val="28"/>
          <w:szCs w:val="28"/>
        </w:rPr>
        <w:lastRenderedPageBreak/>
        <w:t>Липецкой обл. от 16.10.2018 N 224)</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Для достижения поставленных целей необходима последовательная реализация мероприятий, разработанных с учетом стратегических направлений развития, изложенных в данном документе, с обязательным мониторингом эффективности реализации намеченных мероприятий, анализом экономических показателей деятельности района, реального уровня жизни населения.</w:t>
      </w:r>
    </w:p>
    <w:p w:rsidR="00452847" w:rsidRPr="00ED1406" w:rsidRDefault="00452847">
      <w:pPr>
        <w:pStyle w:val="ConsPlusNormal"/>
        <w:jc w:val="both"/>
        <w:rPr>
          <w:rFonts w:ascii="Times New Roman" w:hAnsi="Times New Roman" w:cs="Times New Roman"/>
        </w:rPr>
      </w:pPr>
    </w:p>
    <w:p w:rsidR="00452847" w:rsidRPr="00DB3BCA" w:rsidRDefault="00452847">
      <w:pPr>
        <w:pStyle w:val="ConsPlusTitle"/>
        <w:ind w:firstLine="540"/>
        <w:jc w:val="both"/>
        <w:outlineLvl w:val="1"/>
        <w:rPr>
          <w:rFonts w:ascii="Times New Roman" w:hAnsi="Times New Roman" w:cs="Times New Roman"/>
          <w:sz w:val="28"/>
          <w:szCs w:val="28"/>
        </w:rPr>
      </w:pPr>
      <w:r w:rsidRPr="00DB3BCA">
        <w:rPr>
          <w:rFonts w:ascii="Times New Roman" w:hAnsi="Times New Roman" w:cs="Times New Roman"/>
          <w:sz w:val="28"/>
          <w:szCs w:val="28"/>
        </w:rPr>
        <w:t>1. КОНЦЕПТУАЛЬНЫЕ ОСНОВЫ СТРАТЕГИИ СОЦИАЛЬНО-ЭКОНОМИЧЕСКОГО РАЗВИТИЯ ГРЯЗИНСКОГО РАЙОНА</w:t>
      </w:r>
    </w:p>
    <w:p w:rsidR="00452847" w:rsidRPr="00DB3BCA" w:rsidRDefault="00452847">
      <w:pPr>
        <w:pStyle w:val="ConsPlusNormal"/>
        <w:jc w:val="both"/>
        <w:rPr>
          <w:rFonts w:ascii="Times New Roman" w:hAnsi="Times New Roman" w:cs="Times New Roman"/>
          <w:sz w:val="28"/>
          <w:szCs w:val="28"/>
        </w:rPr>
      </w:pPr>
    </w:p>
    <w:p w:rsidR="00452847" w:rsidRPr="00DB3BCA" w:rsidRDefault="00452847">
      <w:pPr>
        <w:pStyle w:val="ConsPlusNormal"/>
        <w:ind w:firstLine="540"/>
        <w:jc w:val="both"/>
        <w:rPr>
          <w:rFonts w:ascii="Times New Roman" w:hAnsi="Times New Roman" w:cs="Times New Roman"/>
          <w:sz w:val="28"/>
          <w:szCs w:val="28"/>
        </w:rPr>
      </w:pPr>
      <w:r w:rsidRPr="00DB3BCA">
        <w:rPr>
          <w:rFonts w:ascii="Times New Roman" w:hAnsi="Times New Roman" w:cs="Times New Roman"/>
          <w:sz w:val="28"/>
          <w:szCs w:val="28"/>
        </w:rPr>
        <w:t xml:space="preserve">Исключен. - </w:t>
      </w:r>
      <w:hyperlink r:id="rId27">
        <w:r w:rsidRPr="00DB3BCA">
          <w:rPr>
            <w:rFonts w:ascii="Times New Roman" w:hAnsi="Times New Roman" w:cs="Times New Roman"/>
            <w:color w:val="0000FF"/>
            <w:sz w:val="28"/>
            <w:szCs w:val="28"/>
          </w:rPr>
          <w:t>Решение</w:t>
        </w:r>
      </w:hyperlink>
      <w:r w:rsidRPr="00DB3BCA">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DB3BCA" w:rsidRDefault="00452847">
      <w:pPr>
        <w:pStyle w:val="ConsPlusNormal"/>
        <w:jc w:val="both"/>
        <w:rPr>
          <w:rFonts w:ascii="Times New Roman" w:hAnsi="Times New Roman" w:cs="Times New Roman"/>
          <w:sz w:val="28"/>
          <w:szCs w:val="28"/>
        </w:rPr>
      </w:pPr>
    </w:p>
    <w:p w:rsidR="00452847" w:rsidRPr="00DB3BCA" w:rsidRDefault="00452847">
      <w:pPr>
        <w:pStyle w:val="ConsPlusTitle"/>
        <w:ind w:firstLine="540"/>
        <w:jc w:val="both"/>
        <w:outlineLvl w:val="1"/>
        <w:rPr>
          <w:rFonts w:ascii="Times New Roman" w:hAnsi="Times New Roman" w:cs="Times New Roman"/>
          <w:sz w:val="28"/>
          <w:szCs w:val="28"/>
        </w:rPr>
      </w:pPr>
      <w:r w:rsidRPr="00DB3BCA">
        <w:rPr>
          <w:rFonts w:ascii="Times New Roman" w:hAnsi="Times New Roman" w:cs="Times New Roman"/>
          <w:sz w:val="28"/>
          <w:szCs w:val="28"/>
        </w:rPr>
        <w:t>2. СОЦИАЛЬНО-ЭКОНОМИЧЕСКОЕ И ГЕОГРАФИЧЕСКОЕ ПОЛОЖЕНИЕ ГРЯЗИНСКОГО РАЙОНА</w:t>
      </w:r>
    </w:p>
    <w:p w:rsidR="00452847" w:rsidRPr="00DB3BCA" w:rsidRDefault="00452847">
      <w:pPr>
        <w:pStyle w:val="ConsPlusNormal"/>
        <w:jc w:val="both"/>
        <w:rPr>
          <w:rFonts w:ascii="Times New Roman" w:hAnsi="Times New Roman" w:cs="Times New Roman"/>
          <w:sz w:val="28"/>
          <w:szCs w:val="28"/>
        </w:rPr>
      </w:pPr>
    </w:p>
    <w:p w:rsidR="00452847" w:rsidRPr="00DB3BCA" w:rsidRDefault="00452847">
      <w:pPr>
        <w:pStyle w:val="ConsPlusTitle"/>
        <w:ind w:firstLine="540"/>
        <w:jc w:val="both"/>
        <w:outlineLvl w:val="2"/>
        <w:rPr>
          <w:rFonts w:ascii="Times New Roman" w:hAnsi="Times New Roman" w:cs="Times New Roman"/>
          <w:sz w:val="28"/>
          <w:szCs w:val="28"/>
        </w:rPr>
      </w:pPr>
      <w:r w:rsidRPr="00DB3BCA">
        <w:rPr>
          <w:rFonts w:ascii="Times New Roman" w:hAnsi="Times New Roman" w:cs="Times New Roman"/>
          <w:sz w:val="28"/>
          <w:szCs w:val="28"/>
        </w:rPr>
        <w:t>2.1. Географическое положение Грязинского района</w:t>
      </w:r>
    </w:p>
    <w:p w:rsidR="00452847" w:rsidRPr="00DB3BCA" w:rsidRDefault="00452847">
      <w:pPr>
        <w:pStyle w:val="ConsPlusNormal"/>
        <w:jc w:val="both"/>
        <w:rPr>
          <w:rFonts w:ascii="Times New Roman" w:hAnsi="Times New Roman" w:cs="Times New Roman"/>
          <w:sz w:val="28"/>
          <w:szCs w:val="28"/>
        </w:rPr>
      </w:pPr>
    </w:p>
    <w:p w:rsidR="00452847" w:rsidRPr="00DB3BCA" w:rsidRDefault="00452847">
      <w:pPr>
        <w:pStyle w:val="ConsPlusNormal"/>
        <w:ind w:firstLine="540"/>
        <w:jc w:val="both"/>
        <w:rPr>
          <w:rFonts w:ascii="Times New Roman" w:hAnsi="Times New Roman" w:cs="Times New Roman"/>
          <w:sz w:val="28"/>
          <w:szCs w:val="28"/>
        </w:rPr>
      </w:pPr>
      <w:r w:rsidRPr="00DB3BCA">
        <w:rPr>
          <w:rFonts w:ascii="Times New Roman" w:hAnsi="Times New Roman" w:cs="Times New Roman"/>
          <w:sz w:val="28"/>
          <w:szCs w:val="28"/>
        </w:rPr>
        <w:t>Грязинский муниципальный район расположен в восточной части Липецкой области и граничит с Тамбовской областью, Добринским, Усманским, Липецким, Добровским районами. На территории района протекают реки Воронеж, Матыра, Байгора, расположено крупнейшее в области Матырское водохранилище.</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 xml:space="preserve">Грязинский район образован в 1928 году и входит в состав Липецкой области, Центрального федерального округа. Система органов государственной власти определяется </w:t>
      </w:r>
      <w:hyperlink r:id="rId28">
        <w:r w:rsidRPr="00DB3BCA">
          <w:rPr>
            <w:rFonts w:ascii="Times New Roman" w:hAnsi="Times New Roman" w:cs="Times New Roman"/>
            <w:color w:val="0000FF"/>
            <w:sz w:val="28"/>
            <w:szCs w:val="28"/>
          </w:rPr>
          <w:t>Уставом</w:t>
        </w:r>
      </w:hyperlink>
      <w:r w:rsidRPr="00DB3BCA">
        <w:rPr>
          <w:rFonts w:ascii="Times New Roman" w:hAnsi="Times New Roman" w:cs="Times New Roman"/>
          <w:sz w:val="28"/>
          <w:szCs w:val="28"/>
        </w:rPr>
        <w:t xml:space="preserve"> Грязинского района Липецкой области. Государственную власть осуществляют Грязинский районный Совет депутатов, администрация Грязинского района Липецкой области.</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На территории района расположено 60 населенных пунктов, 16 сельских администраций, 1 город.</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Административным центром района является город Грязи, который расположен в 30 км юго-восточнее Липецка, на берегу реки Матыры.</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Город Грязи - крупный железнодорожный узел на Юго-Восточной железной дороге, где функционируют три железнодорожные станции, это перекресток крупнейших железнодорожных магистралей, протянувшихся с севера на юг и с запада на восток и связывающих рынки центральных и отдаленных регионов России и зарубежье.</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 xml:space="preserve">Административным центром района является город Грязи, который расположен в 30 км юго-восточнее Липецка, на берегу реки Матыры. Город Грязи - крупный железнодорожный узел на Юго-Восточной железной дороге, где функционируют три железнодорожные станции, это перекресток крупнейших железнодорожных магистралей, протянувшихся с севера на юг и </w:t>
      </w:r>
      <w:r w:rsidRPr="00DB3BCA">
        <w:rPr>
          <w:rFonts w:ascii="Times New Roman" w:hAnsi="Times New Roman" w:cs="Times New Roman"/>
          <w:sz w:val="28"/>
          <w:szCs w:val="28"/>
        </w:rPr>
        <w:lastRenderedPageBreak/>
        <w:t>с запада на восток и связывающих рынки центральных и отдаленных регионов России и зарубежье.</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Грязинский район является одним из крупных территориальных подразделений области, занимающим территорию 134,7 тыс. га, с населением 73,2 тыс. человек, в том числе 47,5 тыс. - городское, 25,7 тыс. - сельское население. На 01.01.2006 в районе проживает 18,2 тыс. пенсионеров, или 24,9 процента от общей численности населения.</w:t>
      </w:r>
    </w:p>
    <w:p w:rsidR="00452847" w:rsidRPr="00ED1406" w:rsidRDefault="00452847">
      <w:pPr>
        <w:pStyle w:val="ConsPlusNormal"/>
        <w:jc w:val="both"/>
        <w:rPr>
          <w:rFonts w:ascii="Times New Roman" w:hAnsi="Times New Roman" w:cs="Times New Roman"/>
        </w:rPr>
      </w:pPr>
    </w:p>
    <w:p w:rsidR="00452847" w:rsidRPr="00DB3BCA" w:rsidRDefault="00452847">
      <w:pPr>
        <w:pStyle w:val="ConsPlusNormal"/>
        <w:ind w:firstLine="540"/>
        <w:jc w:val="both"/>
        <w:rPr>
          <w:rFonts w:ascii="Times New Roman" w:hAnsi="Times New Roman" w:cs="Times New Roman"/>
          <w:sz w:val="28"/>
          <w:szCs w:val="28"/>
        </w:rPr>
      </w:pPr>
      <w:r w:rsidRPr="00DB3BCA">
        <w:rPr>
          <w:rFonts w:ascii="Times New Roman" w:hAnsi="Times New Roman" w:cs="Times New Roman"/>
          <w:sz w:val="28"/>
          <w:szCs w:val="28"/>
        </w:rPr>
        <w:t>Грязинский район относится к юго-восточному агроклиматическому району, который характеризуется умеренно-континентальным климатом с теплым летом и холодной зимой.</w:t>
      </w:r>
    </w:p>
    <w:p w:rsidR="00452847" w:rsidRPr="00DB3BCA" w:rsidRDefault="00452847">
      <w:pPr>
        <w:pStyle w:val="ConsPlusNormal"/>
        <w:jc w:val="both"/>
        <w:rPr>
          <w:rFonts w:ascii="Times New Roman" w:hAnsi="Times New Roman" w:cs="Times New Roman"/>
          <w:sz w:val="28"/>
          <w:szCs w:val="28"/>
        </w:rPr>
      </w:pPr>
    </w:p>
    <w:p w:rsidR="00452847" w:rsidRPr="00DB3BCA" w:rsidRDefault="00452847">
      <w:pPr>
        <w:pStyle w:val="ConsPlusTitle"/>
        <w:ind w:firstLine="540"/>
        <w:jc w:val="both"/>
        <w:outlineLvl w:val="2"/>
        <w:rPr>
          <w:rFonts w:ascii="Times New Roman" w:hAnsi="Times New Roman" w:cs="Times New Roman"/>
          <w:sz w:val="28"/>
          <w:szCs w:val="28"/>
        </w:rPr>
      </w:pPr>
      <w:r w:rsidRPr="00DB3BCA">
        <w:rPr>
          <w:rFonts w:ascii="Times New Roman" w:hAnsi="Times New Roman" w:cs="Times New Roman"/>
          <w:sz w:val="28"/>
          <w:szCs w:val="28"/>
        </w:rPr>
        <w:t>2.2. Оценка социально-экономической ситуации</w:t>
      </w:r>
    </w:p>
    <w:p w:rsidR="00452847" w:rsidRPr="00DB3BCA" w:rsidRDefault="00452847">
      <w:pPr>
        <w:pStyle w:val="ConsPlusNormal"/>
        <w:ind w:firstLine="540"/>
        <w:jc w:val="both"/>
        <w:rPr>
          <w:rFonts w:ascii="Times New Roman" w:hAnsi="Times New Roman" w:cs="Times New Roman"/>
          <w:sz w:val="28"/>
          <w:szCs w:val="28"/>
        </w:rPr>
      </w:pPr>
      <w:r w:rsidRPr="00DB3BCA">
        <w:rPr>
          <w:rFonts w:ascii="Times New Roman" w:hAnsi="Times New Roman" w:cs="Times New Roman"/>
          <w:sz w:val="28"/>
          <w:szCs w:val="28"/>
        </w:rPr>
        <w:t xml:space="preserve">(в ред. </w:t>
      </w:r>
      <w:hyperlink r:id="rId29">
        <w:r w:rsidRPr="00DB3BCA">
          <w:rPr>
            <w:rFonts w:ascii="Times New Roman" w:hAnsi="Times New Roman" w:cs="Times New Roman"/>
            <w:color w:val="0000FF"/>
            <w:sz w:val="28"/>
            <w:szCs w:val="28"/>
          </w:rPr>
          <w:t>решения</w:t>
        </w:r>
      </w:hyperlink>
      <w:r w:rsidRPr="00DB3BCA">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DB3BCA" w:rsidRDefault="00452847">
      <w:pPr>
        <w:pStyle w:val="ConsPlusNormal"/>
        <w:jc w:val="both"/>
        <w:rPr>
          <w:rFonts w:ascii="Times New Roman" w:hAnsi="Times New Roman" w:cs="Times New Roman"/>
          <w:sz w:val="28"/>
          <w:szCs w:val="28"/>
        </w:rPr>
      </w:pPr>
    </w:p>
    <w:p w:rsidR="00452847" w:rsidRPr="00DB3BCA" w:rsidRDefault="00452847">
      <w:pPr>
        <w:pStyle w:val="ConsPlusNormal"/>
        <w:ind w:firstLine="540"/>
        <w:jc w:val="both"/>
        <w:rPr>
          <w:rFonts w:ascii="Times New Roman" w:hAnsi="Times New Roman" w:cs="Times New Roman"/>
          <w:sz w:val="28"/>
          <w:szCs w:val="28"/>
        </w:rPr>
      </w:pPr>
      <w:r w:rsidRPr="00DB3BCA">
        <w:rPr>
          <w:rFonts w:ascii="Times New Roman" w:hAnsi="Times New Roman" w:cs="Times New Roman"/>
          <w:sz w:val="28"/>
          <w:szCs w:val="28"/>
        </w:rPr>
        <w:t>Экономика Грязинского муниципального района, несмотря на сложность и противоречивость процессов, характеризуется динамичным развитием.</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За 2006 - 2017 годы объем производства увеличился 4 раза. Среднегодовые темпы роста составили в промышленности - 104%, сельском хозяйстве - 105%, розничном товарообороте - 107%, инвестиций в основной капитал - 110%. Среднедушевые денежные доходы населения увеличиваются ежегодно в среднем на 15%.</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Район имеет природно-ресурсный, трудовой, инвестиционный, экономический потенциал, который определяет перспективы ее развития.</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Приоритетным направлением развития для района является малый и средний бизнес. Количество субъектов малого и среднего бизнеса (включая микропредприятия) в 2017 году по сравнению с 2006 годом возросло на 133%, их оборот и налоговые поступления - в 3 раза.</w:t>
      </w:r>
    </w:p>
    <w:p w:rsidR="00452847" w:rsidRPr="00DB3BCA" w:rsidRDefault="00452847">
      <w:pPr>
        <w:pStyle w:val="ConsPlusNormal"/>
        <w:spacing w:before="200"/>
        <w:ind w:firstLine="540"/>
        <w:jc w:val="both"/>
        <w:rPr>
          <w:rFonts w:ascii="Times New Roman" w:hAnsi="Times New Roman" w:cs="Times New Roman"/>
          <w:sz w:val="28"/>
          <w:szCs w:val="28"/>
        </w:rPr>
      </w:pPr>
      <w:r w:rsidRPr="00DB3BCA">
        <w:rPr>
          <w:rFonts w:ascii="Times New Roman" w:hAnsi="Times New Roman" w:cs="Times New Roman"/>
          <w:sz w:val="28"/>
          <w:szCs w:val="28"/>
        </w:rPr>
        <w:t>Индекс промышленного производства в 2017 году к 2006 году составил 140%.</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На территории района осуществляют деятельность предприятия мировых производителей: "ЙОКОХАМА", "Бекарт", "Виссманн", "СЭСТ-ЛЮВЕ", "ППГ Индастриз", "Кемин Индастриз", "Фенци", "АЛУ-ПРО", "Лэм Уэстон Белая Дача" и др.</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В ОЭЗ ППТ "Липецк" зарегистрировано 57 компаний-резидентов с объемом заявленных инвестиций 188 млрд. руб., создано 3600 рабочих мест.</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Объем валовой продукции сельского хозяйства в сопоставимых ценах к 2006 году увеличился в 1,8 раза и в 2017 году достиг 1,2 млрд. руб.</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 xml:space="preserve">За счет интенсификации производства, введения в оборот ранее неиспользуемой пашни в 2017 году получен хороший урожай зерна, </w:t>
      </w:r>
      <w:r w:rsidRPr="0069633B">
        <w:rPr>
          <w:rFonts w:ascii="Times New Roman" w:hAnsi="Times New Roman" w:cs="Times New Roman"/>
          <w:sz w:val="28"/>
          <w:szCs w:val="28"/>
        </w:rPr>
        <w:lastRenderedPageBreak/>
        <w:t>сахарной свеклы, картофеля, овощей. Производство зерна превысило 135,2 тыс. тонн, что в 2 раза больше 2006 года, сахарной свеклы - 244,7 тыс. тонн (в 2,7 раза), подсолнечника - 14,9 тыс. тонн (в 37 раз), картофеля - 36 тыс. тонн (в 3,6 раза).</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В животноводстве производство скота и птицы на убой (в живом весе) в 2017 году составило 16 тыс. тонн с ростом в 3 раза к 2006 году, яиц - 128,9 млн. шт. (122%). Достигнута рекордная продуктивность дойного стада - надой на 1 корову увеличился до 6,3 тонн (рост 144% к 2006 году).</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С 2006 года ввод жилья увеличился в 2 раза, введено 620 тыс. кв. м. В рамках программы переселения граждан из аварийного жилого фонда ликвидировано 12 тыс. кв. м аварийного жилья, переселено в благоустроенное жилье - 592 человека, в т.ч. в 2017 году - 199 человек.</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Услугами пассажирского транспорта общего пользования охвачены 100% населенных пунктов района.</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Для повышения безопасности дорожного движения и улучшения качества транспортного обслуживания пассажиров весь автобусный парк общего пользования оборудован аппаратурой ГЛОНАСС.</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Положительная динамика наблюдается по показателям, характеризующим уровень жизни населения района.</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Реальные располагаемые денежные доходы населения за период 2006 - 2017 годов выросли в 1,5 раза, реальная среднемесячная заработная плата - в 1,4 раза.</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Уровень регистрируемой безработицы (0,3%) один из самых низких в Липецкой области (1 место). Отсутствует напряженность на рынке труда - число вакансий более чем в 3 раза превышает количество незанятого населения.</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За 2006 - 2017 годы рождаемость увеличилась на 6%, естественная убыль населения сократилась в 1,8 раза, продолжительность жизни выросла и в 2017 году достигла 70 лет.</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Подводя итоги краткого анализа динамики уровня социально-экономического развития, можно сделать вывод, что Грязинский муниципальный район обладает значительными возможностями и потенциалом экономического роста и социального развития.</w:t>
      </w:r>
    </w:p>
    <w:p w:rsidR="00452847" w:rsidRPr="0069633B" w:rsidRDefault="00452847">
      <w:pPr>
        <w:pStyle w:val="ConsPlusNormal"/>
        <w:spacing w:before="200"/>
        <w:ind w:firstLine="540"/>
        <w:jc w:val="both"/>
        <w:rPr>
          <w:rFonts w:ascii="Times New Roman" w:hAnsi="Times New Roman" w:cs="Times New Roman"/>
          <w:sz w:val="28"/>
          <w:szCs w:val="28"/>
        </w:rPr>
      </w:pPr>
      <w:r w:rsidRPr="0069633B">
        <w:rPr>
          <w:rFonts w:ascii="Times New Roman" w:hAnsi="Times New Roman" w:cs="Times New Roman"/>
          <w:sz w:val="28"/>
          <w:szCs w:val="28"/>
        </w:rPr>
        <w:t>Вместе с тем по мере решения первоочередных задач выявились некоторые ограничения экономического роста и повышения конкурентоспособности экономики, что требует смещения акцентов в проводимой политике при сохранении общего направления преобразований.</w:t>
      </w:r>
    </w:p>
    <w:p w:rsidR="00452847" w:rsidRPr="00ED1406" w:rsidRDefault="00452847">
      <w:pPr>
        <w:pStyle w:val="ConsPlusNormal"/>
        <w:jc w:val="both"/>
        <w:rPr>
          <w:rFonts w:ascii="Times New Roman" w:hAnsi="Times New Roman" w:cs="Times New Roman"/>
        </w:rPr>
      </w:pPr>
    </w:p>
    <w:p w:rsidR="00452847" w:rsidRPr="00AA2BE1" w:rsidRDefault="00452847">
      <w:pPr>
        <w:pStyle w:val="ConsPlusTitle"/>
        <w:ind w:firstLine="540"/>
        <w:jc w:val="both"/>
        <w:outlineLvl w:val="2"/>
        <w:rPr>
          <w:rFonts w:ascii="Times New Roman" w:hAnsi="Times New Roman" w:cs="Times New Roman"/>
          <w:sz w:val="28"/>
          <w:szCs w:val="28"/>
        </w:rPr>
      </w:pPr>
      <w:r w:rsidRPr="00AA2BE1">
        <w:rPr>
          <w:rFonts w:ascii="Times New Roman" w:hAnsi="Times New Roman" w:cs="Times New Roman"/>
          <w:sz w:val="28"/>
          <w:szCs w:val="28"/>
        </w:rPr>
        <w:t>2.3. Проблемы социально-экономического развития района</w:t>
      </w:r>
    </w:p>
    <w:p w:rsidR="00452847" w:rsidRPr="00AA2BE1" w:rsidRDefault="00452847">
      <w:pPr>
        <w:pStyle w:val="ConsPlusNormal"/>
        <w:ind w:firstLine="540"/>
        <w:jc w:val="both"/>
        <w:rPr>
          <w:rFonts w:ascii="Times New Roman" w:hAnsi="Times New Roman" w:cs="Times New Roman"/>
          <w:sz w:val="28"/>
          <w:szCs w:val="28"/>
        </w:rPr>
      </w:pPr>
      <w:r w:rsidRPr="00AA2BE1">
        <w:rPr>
          <w:rFonts w:ascii="Times New Roman" w:hAnsi="Times New Roman" w:cs="Times New Roman"/>
          <w:sz w:val="28"/>
          <w:szCs w:val="28"/>
        </w:rPr>
        <w:t xml:space="preserve">(в ред. </w:t>
      </w:r>
      <w:hyperlink r:id="rId30">
        <w:r w:rsidRPr="00AA2BE1">
          <w:rPr>
            <w:rFonts w:ascii="Times New Roman" w:hAnsi="Times New Roman" w:cs="Times New Roman"/>
            <w:color w:val="0000FF"/>
            <w:sz w:val="28"/>
            <w:szCs w:val="28"/>
          </w:rPr>
          <w:t>решения</w:t>
        </w:r>
      </w:hyperlink>
      <w:r w:rsidRPr="00AA2BE1">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AA2BE1" w:rsidRDefault="00452847">
      <w:pPr>
        <w:pStyle w:val="ConsPlusNormal"/>
        <w:jc w:val="both"/>
        <w:rPr>
          <w:rFonts w:ascii="Times New Roman" w:hAnsi="Times New Roman" w:cs="Times New Roman"/>
          <w:sz w:val="28"/>
          <w:szCs w:val="28"/>
        </w:rPr>
      </w:pPr>
    </w:p>
    <w:p w:rsidR="00452847" w:rsidRPr="00AA2BE1" w:rsidRDefault="00452847">
      <w:pPr>
        <w:pStyle w:val="ConsPlusNormal"/>
        <w:ind w:firstLine="540"/>
        <w:jc w:val="both"/>
        <w:rPr>
          <w:rFonts w:ascii="Times New Roman" w:hAnsi="Times New Roman" w:cs="Times New Roman"/>
          <w:sz w:val="28"/>
          <w:szCs w:val="28"/>
        </w:rPr>
      </w:pPr>
      <w:r w:rsidRPr="00AA2BE1">
        <w:rPr>
          <w:rFonts w:ascii="Times New Roman" w:hAnsi="Times New Roman" w:cs="Times New Roman"/>
          <w:sz w:val="28"/>
          <w:szCs w:val="28"/>
        </w:rPr>
        <w:t>В социально-экономическом развитии области на период 2018 - 202</w:t>
      </w:r>
      <w:r w:rsidR="00185933" w:rsidRPr="00AA2BE1">
        <w:rPr>
          <w:rFonts w:ascii="Times New Roman" w:hAnsi="Times New Roman" w:cs="Times New Roman"/>
          <w:sz w:val="28"/>
          <w:szCs w:val="28"/>
        </w:rPr>
        <w:t>6</w:t>
      </w:r>
      <w:r w:rsidRPr="00AA2BE1">
        <w:rPr>
          <w:rFonts w:ascii="Times New Roman" w:hAnsi="Times New Roman" w:cs="Times New Roman"/>
          <w:sz w:val="28"/>
          <w:szCs w:val="28"/>
        </w:rPr>
        <w:t xml:space="preserve"> годов можно выделить следующие основные проблемы: экономические, социальные, экологические, инфраструктурные.</w:t>
      </w:r>
    </w:p>
    <w:p w:rsidR="00452847" w:rsidRPr="00AA2BE1" w:rsidRDefault="00452847">
      <w:pPr>
        <w:pStyle w:val="ConsPlusNormal"/>
        <w:jc w:val="both"/>
        <w:rPr>
          <w:rFonts w:ascii="Times New Roman" w:hAnsi="Times New Roman" w:cs="Times New Roman"/>
          <w:sz w:val="28"/>
          <w:szCs w:val="28"/>
        </w:rPr>
      </w:pPr>
    </w:p>
    <w:p w:rsidR="00452847" w:rsidRPr="00AA2BE1" w:rsidRDefault="00452847">
      <w:pPr>
        <w:pStyle w:val="ConsPlusNormal"/>
        <w:jc w:val="center"/>
        <w:rPr>
          <w:rFonts w:ascii="Times New Roman" w:hAnsi="Times New Roman" w:cs="Times New Roman"/>
          <w:sz w:val="28"/>
          <w:szCs w:val="28"/>
        </w:rPr>
      </w:pPr>
      <w:r w:rsidRPr="00AA2BE1">
        <w:rPr>
          <w:rFonts w:ascii="Times New Roman" w:hAnsi="Times New Roman" w:cs="Times New Roman"/>
          <w:sz w:val="28"/>
          <w:szCs w:val="28"/>
        </w:rPr>
        <w:t>2.3.1. Экономические проблемы</w:t>
      </w:r>
    </w:p>
    <w:p w:rsidR="00452847" w:rsidRPr="00AA2BE1" w:rsidRDefault="00452847">
      <w:pPr>
        <w:pStyle w:val="ConsPlusNormal"/>
        <w:jc w:val="both"/>
        <w:rPr>
          <w:rFonts w:ascii="Times New Roman" w:hAnsi="Times New Roman" w:cs="Times New Roman"/>
          <w:sz w:val="28"/>
          <w:szCs w:val="28"/>
        </w:rPr>
      </w:pPr>
    </w:p>
    <w:p w:rsidR="00452847" w:rsidRPr="00AA2BE1" w:rsidRDefault="00452847">
      <w:pPr>
        <w:pStyle w:val="ConsPlusNormal"/>
        <w:ind w:firstLine="540"/>
        <w:jc w:val="both"/>
        <w:rPr>
          <w:rFonts w:ascii="Times New Roman" w:hAnsi="Times New Roman" w:cs="Times New Roman"/>
          <w:sz w:val="28"/>
          <w:szCs w:val="28"/>
        </w:rPr>
      </w:pPr>
      <w:r w:rsidRPr="00AA2BE1">
        <w:rPr>
          <w:rFonts w:ascii="Times New Roman" w:hAnsi="Times New Roman" w:cs="Times New Roman"/>
          <w:sz w:val="28"/>
          <w:szCs w:val="28"/>
        </w:rPr>
        <w:t>Недостаточные темпы роста производительности труда сложились в промышленности в 2012 - 2017 годах, в том числе в приоритетных видах деятельности: машиностроении и производстве пищевых продуктов.</w:t>
      </w:r>
    </w:p>
    <w:p w:rsidR="00452847" w:rsidRPr="00AA2BE1" w:rsidRDefault="00452847">
      <w:pPr>
        <w:pStyle w:val="ConsPlusNormal"/>
        <w:spacing w:before="200"/>
        <w:ind w:firstLine="540"/>
        <w:jc w:val="both"/>
        <w:rPr>
          <w:rFonts w:ascii="Times New Roman" w:hAnsi="Times New Roman" w:cs="Times New Roman"/>
          <w:sz w:val="28"/>
          <w:szCs w:val="28"/>
        </w:rPr>
      </w:pPr>
      <w:r w:rsidRPr="00AA2BE1">
        <w:rPr>
          <w:rFonts w:ascii="Times New Roman" w:hAnsi="Times New Roman" w:cs="Times New Roman"/>
          <w:sz w:val="28"/>
          <w:szCs w:val="28"/>
        </w:rPr>
        <w:t>Высокие темпы роста инвестиций, вложенных в экономику района в 2006 - 2016 годах, не соответствуют темпам роста производимой продукции, среднемесячной заработной платы, налоговых и неналоговых доходов бюджета.</w:t>
      </w:r>
    </w:p>
    <w:p w:rsidR="00452847" w:rsidRPr="00AA2BE1" w:rsidRDefault="00452847">
      <w:pPr>
        <w:pStyle w:val="ConsPlusNormal"/>
        <w:spacing w:before="200"/>
        <w:ind w:firstLine="540"/>
        <w:jc w:val="both"/>
        <w:rPr>
          <w:rFonts w:ascii="Times New Roman" w:hAnsi="Times New Roman" w:cs="Times New Roman"/>
          <w:sz w:val="28"/>
          <w:szCs w:val="28"/>
        </w:rPr>
      </w:pPr>
      <w:r w:rsidRPr="00AA2BE1">
        <w:rPr>
          <w:rFonts w:ascii="Times New Roman" w:hAnsi="Times New Roman" w:cs="Times New Roman"/>
          <w:sz w:val="28"/>
          <w:szCs w:val="28"/>
        </w:rPr>
        <w:t>В сельской местности население слабо вовлечено в экономическую деятельность.</w:t>
      </w:r>
    </w:p>
    <w:p w:rsidR="00452847" w:rsidRPr="00AA2BE1" w:rsidRDefault="00452847">
      <w:pPr>
        <w:pStyle w:val="ConsPlusNormal"/>
        <w:spacing w:before="200"/>
        <w:ind w:firstLine="540"/>
        <w:jc w:val="both"/>
        <w:rPr>
          <w:rFonts w:ascii="Times New Roman" w:hAnsi="Times New Roman" w:cs="Times New Roman"/>
          <w:sz w:val="28"/>
          <w:szCs w:val="28"/>
        </w:rPr>
      </w:pPr>
      <w:r w:rsidRPr="00AA2BE1">
        <w:rPr>
          <w:rFonts w:ascii="Times New Roman" w:hAnsi="Times New Roman" w:cs="Times New Roman"/>
          <w:sz w:val="28"/>
          <w:szCs w:val="28"/>
        </w:rPr>
        <w:t>Не обеспечена продовольственная безопасность в растениеводстве и животноводстве в связи с высокой зависимостью от импортных семян, племенного молодняка скота, инкубационного яйца, биоматериалов.</w:t>
      </w:r>
    </w:p>
    <w:p w:rsidR="00452847" w:rsidRPr="00AA2BE1" w:rsidRDefault="00452847">
      <w:pPr>
        <w:pStyle w:val="ConsPlusNormal"/>
        <w:spacing w:before="200"/>
        <w:ind w:firstLine="540"/>
        <w:jc w:val="both"/>
        <w:rPr>
          <w:rFonts w:ascii="Times New Roman" w:hAnsi="Times New Roman" w:cs="Times New Roman"/>
          <w:sz w:val="28"/>
          <w:szCs w:val="28"/>
        </w:rPr>
      </w:pPr>
      <w:r w:rsidRPr="00AA2BE1">
        <w:rPr>
          <w:rFonts w:ascii="Times New Roman" w:hAnsi="Times New Roman" w:cs="Times New Roman"/>
          <w:sz w:val="28"/>
          <w:szCs w:val="28"/>
        </w:rPr>
        <w:t>Имеет место неравномерность в развитии экономического потенциала сельских территорий и обеспечивающей инфраструктуры.</w:t>
      </w:r>
    </w:p>
    <w:p w:rsidR="00452847" w:rsidRPr="00ED1406" w:rsidRDefault="00452847">
      <w:pPr>
        <w:pStyle w:val="ConsPlusNormal"/>
        <w:jc w:val="both"/>
        <w:rPr>
          <w:rFonts w:ascii="Times New Roman" w:hAnsi="Times New Roman" w:cs="Times New Roman"/>
        </w:rPr>
      </w:pPr>
    </w:p>
    <w:p w:rsidR="00452847" w:rsidRPr="00AA2BE1" w:rsidRDefault="00452847">
      <w:pPr>
        <w:pStyle w:val="ConsPlusNormal"/>
        <w:jc w:val="center"/>
        <w:rPr>
          <w:rFonts w:ascii="Times New Roman" w:hAnsi="Times New Roman" w:cs="Times New Roman"/>
          <w:sz w:val="32"/>
          <w:szCs w:val="32"/>
        </w:rPr>
      </w:pPr>
      <w:r w:rsidRPr="00AA2BE1">
        <w:rPr>
          <w:rFonts w:ascii="Times New Roman" w:hAnsi="Times New Roman" w:cs="Times New Roman"/>
          <w:sz w:val="32"/>
          <w:szCs w:val="32"/>
        </w:rPr>
        <w:t>2.3.2. Социальные проблемы</w:t>
      </w:r>
    </w:p>
    <w:p w:rsidR="00452847" w:rsidRPr="00AA2BE1" w:rsidRDefault="00452847">
      <w:pPr>
        <w:pStyle w:val="ConsPlusNormal"/>
        <w:jc w:val="both"/>
        <w:rPr>
          <w:rFonts w:ascii="Times New Roman" w:hAnsi="Times New Roman" w:cs="Times New Roman"/>
          <w:sz w:val="32"/>
          <w:szCs w:val="32"/>
        </w:rPr>
      </w:pPr>
    </w:p>
    <w:p w:rsidR="00452847" w:rsidRPr="00AA2BE1" w:rsidRDefault="00452847">
      <w:pPr>
        <w:pStyle w:val="ConsPlusNormal"/>
        <w:ind w:firstLine="540"/>
        <w:jc w:val="both"/>
        <w:rPr>
          <w:rFonts w:ascii="Times New Roman" w:hAnsi="Times New Roman" w:cs="Times New Roman"/>
          <w:sz w:val="32"/>
          <w:szCs w:val="32"/>
        </w:rPr>
      </w:pPr>
      <w:r w:rsidRPr="00AA2BE1">
        <w:rPr>
          <w:rFonts w:ascii="Times New Roman" w:hAnsi="Times New Roman" w:cs="Times New Roman"/>
          <w:sz w:val="32"/>
          <w:szCs w:val="32"/>
        </w:rPr>
        <w:t>Несмотря на некоторое улучшение демографической ситуации (снижение смертности, увеличение числа родившихся, рост средней продолжительности жизни до 70 лет), продолжается сокращение численности населения вследствие естественной убыли - 4,5 на 1000 человек населения.</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Миграционные процессы не оказывают существенного влияния на улучшение демографической ситуации и лишь частично компенсируют естественные потери населения.</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Прогнозируется снижение численности населения трудоспособного возраста. По прогнозу к 2024 году она снизится на 2% относительно уровня 2017 года.</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Наблюдаемое снижение численности молодежи в возрасте от 20 до 30 лет приведет к сокращению притока в экономику района молодых кадров и, как следствие, к снижению качества потенциала трудовых ресурсов.</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lastRenderedPageBreak/>
        <w:t>По итогам 2017 года по уровню заработной платы район занимает 5 место среди районов.</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Район остается одним из районов с низким уровнем официально зарегистрированной безработицы - 0,3% от экономически активного населения. Вместе с тем снижается трудовой потенциал, остро ощущается дефицит квалифицированных кадров, особенно рабочих профессий.</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Имея высокую техногенную нагрузку, обеспеченность врачами в районе составляет 31 на 10 тыс. жителей (16 место по области).</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Имеется потребность в обеспеченности местами в дошкольных организациях детей до 3 лет. В общеобразовательных школах 21,6% обучаются во 2-ю смену, что не соответствует санитарным нормам и уровню безопасности.</w:t>
      </w:r>
    </w:p>
    <w:p w:rsidR="00452847" w:rsidRPr="00AA2BE1" w:rsidRDefault="00452847">
      <w:pPr>
        <w:pStyle w:val="ConsPlusNormal"/>
        <w:spacing w:before="200"/>
        <w:ind w:firstLine="540"/>
        <w:jc w:val="both"/>
        <w:rPr>
          <w:rFonts w:ascii="Times New Roman" w:hAnsi="Times New Roman" w:cs="Times New Roman"/>
          <w:sz w:val="32"/>
          <w:szCs w:val="32"/>
        </w:rPr>
      </w:pPr>
      <w:r w:rsidRPr="00AA2BE1">
        <w:rPr>
          <w:rFonts w:ascii="Times New Roman" w:hAnsi="Times New Roman" w:cs="Times New Roman"/>
          <w:sz w:val="32"/>
          <w:szCs w:val="32"/>
        </w:rPr>
        <w:t>Уровень и качество жизни сельских жителей отстают от уровня жизни городского населения. Сохраняются проблемы в развитии инженерной инфраструктуры, обеспечении доступа сельского населения к учреждениям здравоохранения и образования, а также обеспечении жильем работников агропромышленного комплекса и социальной сферы села, включая молодых специалистов.</w:t>
      </w:r>
    </w:p>
    <w:p w:rsidR="00452847" w:rsidRPr="00ED1406" w:rsidRDefault="00452847">
      <w:pPr>
        <w:pStyle w:val="ConsPlusNormal"/>
        <w:jc w:val="both"/>
        <w:rPr>
          <w:rFonts w:ascii="Times New Roman" w:hAnsi="Times New Roman" w:cs="Times New Roman"/>
        </w:rPr>
      </w:pPr>
    </w:p>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2.3.3. Экологические проблемы</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Normal"/>
        <w:ind w:firstLine="540"/>
        <w:jc w:val="both"/>
        <w:rPr>
          <w:rFonts w:ascii="Times New Roman" w:hAnsi="Times New Roman" w:cs="Times New Roman"/>
          <w:sz w:val="28"/>
          <w:szCs w:val="28"/>
        </w:rPr>
      </w:pPr>
      <w:r w:rsidRPr="005468D2">
        <w:rPr>
          <w:rFonts w:ascii="Times New Roman" w:hAnsi="Times New Roman" w:cs="Times New Roman"/>
          <w:sz w:val="28"/>
          <w:szCs w:val="28"/>
        </w:rPr>
        <w:t>Антропогенное воздействие на окружающую среду год от года увеличивается.</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Наиболее острыми экологическими проблемами в районе являются:</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 загрязнение атмосферного воздуха стационарными и передвижными источниками;</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 загрязнение водных ресурсов;</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 несовершенство системы обращения с отходами производства и потребления;</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 отсутствие системы по глубокой переработке отходов производства и потребления, внедрению технологий вторичной переработки.</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На ухудшение экологической обстановки оказывает влияние санитарное состояние лесных насаждений, поврежденных вредителями и болезнями леса.</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2.3.4. Инфраструктурные проблемы</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Normal"/>
        <w:ind w:firstLine="540"/>
        <w:jc w:val="both"/>
        <w:rPr>
          <w:rFonts w:ascii="Times New Roman" w:hAnsi="Times New Roman" w:cs="Times New Roman"/>
          <w:sz w:val="28"/>
          <w:szCs w:val="28"/>
        </w:rPr>
      </w:pPr>
      <w:r w:rsidRPr="005468D2">
        <w:rPr>
          <w:rFonts w:ascii="Times New Roman" w:hAnsi="Times New Roman" w:cs="Times New Roman"/>
          <w:sz w:val="28"/>
          <w:szCs w:val="28"/>
        </w:rPr>
        <w:lastRenderedPageBreak/>
        <w:t>Текущее состояние дорожно-транспортной инфраструктуры района не в полном объеме удовлетворяет растущим потребностям развития экономики района. Сложившаяся структура финансирования дорожно-эксплуатационных работ приводит к сокращению срока службы дорог, увеличению потребности в затратах на их содержание и ремонт.</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Отсутствует система перспективного развития водно-коммунального хозяйства области при сопутствующем высоком износе сетей водоснабжения и водоотведения.</w:t>
      </w:r>
    </w:p>
    <w:p w:rsidR="00452847" w:rsidRPr="005468D2" w:rsidRDefault="00452847">
      <w:pPr>
        <w:pStyle w:val="ConsPlusNormal"/>
        <w:spacing w:before="200"/>
        <w:ind w:firstLine="540"/>
        <w:jc w:val="both"/>
        <w:rPr>
          <w:rFonts w:ascii="Times New Roman" w:hAnsi="Times New Roman" w:cs="Times New Roman"/>
          <w:sz w:val="28"/>
          <w:szCs w:val="28"/>
        </w:rPr>
      </w:pPr>
      <w:r w:rsidRPr="005468D2">
        <w:rPr>
          <w:rFonts w:ascii="Times New Roman" w:hAnsi="Times New Roman" w:cs="Times New Roman"/>
          <w:sz w:val="28"/>
          <w:szCs w:val="28"/>
        </w:rPr>
        <w:t>Благоустроенность территорий населенных пунктов не соответствует ожиданиям и потребностям населения.</w:t>
      </w:r>
    </w:p>
    <w:p w:rsidR="00452847" w:rsidRPr="00ED1406" w:rsidRDefault="00452847">
      <w:pPr>
        <w:pStyle w:val="ConsPlusNormal"/>
        <w:jc w:val="both"/>
        <w:rPr>
          <w:rFonts w:ascii="Times New Roman" w:hAnsi="Times New Roman" w:cs="Times New Roman"/>
        </w:rPr>
      </w:pPr>
    </w:p>
    <w:p w:rsidR="00452847" w:rsidRPr="00ED1406" w:rsidRDefault="00452847">
      <w:pPr>
        <w:pStyle w:val="ConsPlusTitle"/>
        <w:ind w:firstLine="540"/>
        <w:jc w:val="both"/>
        <w:outlineLvl w:val="1"/>
        <w:rPr>
          <w:rFonts w:ascii="Times New Roman" w:hAnsi="Times New Roman" w:cs="Times New Roman"/>
        </w:rPr>
      </w:pPr>
      <w:bookmarkStart w:id="2" w:name="P186"/>
      <w:bookmarkEnd w:id="2"/>
      <w:r w:rsidRPr="00ED1406">
        <w:rPr>
          <w:rFonts w:ascii="Times New Roman" w:hAnsi="Times New Roman" w:cs="Times New Roman"/>
        </w:rPr>
        <w:t>3. СТРАТЕГИЧЕСКИЙ (SWOT) АНАЛИЗ СОЦИАЛЬНО-ЭКОНОМИЧЕСКОГО РАЗВИТИЯ ГРЯЗИНСКОГО МУНИЦИПАЛЬНОГО РАЙОНА</w:t>
      </w:r>
    </w:p>
    <w:p w:rsidR="00452847" w:rsidRPr="005468D2" w:rsidRDefault="00452847">
      <w:pPr>
        <w:pStyle w:val="ConsPlusNormal"/>
        <w:ind w:firstLine="540"/>
        <w:jc w:val="both"/>
        <w:rPr>
          <w:rFonts w:ascii="Times New Roman" w:hAnsi="Times New Roman" w:cs="Times New Roman"/>
          <w:sz w:val="28"/>
          <w:szCs w:val="28"/>
        </w:rPr>
      </w:pPr>
      <w:r w:rsidRPr="005468D2">
        <w:rPr>
          <w:rFonts w:ascii="Times New Roman" w:hAnsi="Times New Roman" w:cs="Times New Roman"/>
          <w:sz w:val="28"/>
          <w:szCs w:val="28"/>
        </w:rPr>
        <w:t xml:space="preserve">(в ред. </w:t>
      </w:r>
      <w:hyperlink r:id="rId31">
        <w:r w:rsidRPr="005468D2">
          <w:rPr>
            <w:rFonts w:ascii="Times New Roman" w:hAnsi="Times New Roman" w:cs="Times New Roman"/>
            <w:color w:val="0000FF"/>
            <w:sz w:val="28"/>
            <w:szCs w:val="28"/>
          </w:rPr>
          <w:t>решения</w:t>
        </w:r>
      </w:hyperlink>
      <w:r w:rsidRPr="005468D2">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Normal"/>
        <w:ind w:firstLine="540"/>
        <w:jc w:val="both"/>
        <w:rPr>
          <w:rFonts w:ascii="Times New Roman" w:hAnsi="Times New Roman" w:cs="Times New Roman"/>
          <w:sz w:val="28"/>
          <w:szCs w:val="28"/>
        </w:rPr>
      </w:pPr>
      <w:r w:rsidRPr="005468D2">
        <w:rPr>
          <w:rFonts w:ascii="Times New Roman" w:hAnsi="Times New Roman" w:cs="Times New Roman"/>
          <w:sz w:val="28"/>
          <w:szCs w:val="28"/>
        </w:rPr>
        <w:t>Для разработки Стратегии развития Грязинского муниципального района с целью выявления проблем был осуществлен стратегический анализ по методике SWOT. Результаты анализа приводятся ниже.</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Title"/>
        <w:jc w:val="center"/>
        <w:outlineLvl w:val="2"/>
        <w:rPr>
          <w:rFonts w:ascii="Times New Roman" w:hAnsi="Times New Roman" w:cs="Times New Roman"/>
          <w:sz w:val="28"/>
          <w:szCs w:val="28"/>
        </w:rPr>
      </w:pPr>
      <w:r w:rsidRPr="005468D2">
        <w:rPr>
          <w:rFonts w:ascii="Times New Roman" w:hAnsi="Times New Roman" w:cs="Times New Roman"/>
          <w:sz w:val="28"/>
          <w:szCs w:val="28"/>
        </w:rPr>
        <w:t>3.1. Стратегический (SWOT) анализ демографического развития</w:t>
      </w:r>
    </w:p>
    <w:p w:rsidR="00452847" w:rsidRPr="005468D2" w:rsidRDefault="00452847">
      <w:pPr>
        <w:pStyle w:val="ConsPlusTitle"/>
        <w:jc w:val="center"/>
        <w:rPr>
          <w:rFonts w:ascii="Times New Roman" w:hAnsi="Times New Roman" w:cs="Times New Roman"/>
          <w:sz w:val="28"/>
          <w:szCs w:val="28"/>
        </w:rPr>
      </w:pPr>
      <w:r w:rsidRPr="005468D2">
        <w:rPr>
          <w:rFonts w:ascii="Times New Roman" w:hAnsi="Times New Roman" w:cs="Times New Roman"/>
          <w:sz w:val="28"/>
          <w:szCs w:val="28"/>
        </w:rPr>
        <w:t>Грязинского муниципального района</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Normal"/>
        <w:jc w:val="right"/>
        <w:rPr>
          <w:rFonts w:ascii="Times New Roman" w:hAnsi="Times New Roman" w:cs="Times New Roman"/>
          <w:sz w:val="28"/>
          <w:szCs w:val="28"/>
        </w:rPr>
      </w:pPr>
      <w:r w:rsidRPr="005468D2">
        <w:rPr>
          <w:rFonts w:ascii="Times New Roman" w:hAnsi="Times New Roman" w:cs="Times New Roman"/>
          <w:sz w:val="28"/>
          <w:szCs w:val="28"/>
        </w:rPr>
        <w:t>Таблица 3.1</w:t>
      </w:r>
    </w:p>
    <w:p w:rsidR="00452847" w:rsidRPr="005468D2" w:rsidRDefault="00452847">
      <w:pPr>
        <w:pStyle w:val="ConsPlusNormal"/>
        <w:jc w:val="both"/>
        <w:rPr>
          <w:rFonts w:ascii="Times New Roman" w:hAnsi="Times New Roman" w:cs="Times New Roman"/>
          <w:sz w:val="28"/>
          <w:szCs w:val="28"/>
        </w:rPr>
      </w:pPr>
    </w:p>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Сильные (S), слабые (W) стороны, возможности (О)</w:t>
      </w:r>
    </w:p>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и угрозы (Т)</w:t>
      </w:r>
    </w:p>
    <w:p w:rsidR="00452847" w:rsidRPr="005468D2"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5468D2">
        <w:tc>
          <w:tcPr>
            <w:tcW w:w="4535" w:type="dxa"/>
            <w:tcBorders>
              <w:top w:val="single" w:sz="4" w:space="0" w:color="auto"/>
              <w:bottom w:val="nil"/>
            </w:tcBorders>
          </w:tcPr>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Слабые стороны (W)</w:t>
            </w:r>
          </w:p>
        </w:tc>
      </w:tr>
      <w:tr w:rsidR="00452847" w:rsidRPr="005468D2">
        <w:tc>
          <w:tcPr>
            <w:tcW w:w="4535" w:type="dxa"/>
            <w:tcBorders>
              <w:top w:val="nil"/>
              <w:bottom w:val="single" w:sz="4" w:space="0" w:color="auto"/>
            </w:tcBorders>
          </w:tcPr>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1. Рост численности многодетных семей (2005 г. - 489 семей, 2017 г. - 1150 семей).</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3. Снижение младенческой смертности (с 9,3 в 2005 г. до 3,4 случаев на 1000 родившихся в 2017 г.).</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4. Рост средней ожидаемой продолжительности предстоящей жизни (с 65 лет в 2005 г. до 70 лет в 2017 г.).</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5. Широкий спектр мер социальной поддержки семей с детьми</w:t>
            </w:r>
          </w:p>
        </w:tc>
        <w:tc>
          <w:tcPr>
            <w:tcW w:w="4535" w:type="dxa"/>
            <w:tcBorders>
              <w:top w:val="nil"/>
              <w:bottom w:val="single" w:sz="4" w:space="0" w:color="auto"/>
            </w:tcBorders>
          </w:tcPr>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1. Старение населения.</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2. Высокий уровень смертности, особенно среди мужчин в трудоспособном возрасте.</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3. Недостаточный уровень рождаемости для обеспечения естественного роста численности населения.</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4. Снижение численности женщин фертильного возраста</w:t>
            </w:r>
          </w:p>
        </w:tc>
      </w:tr>
      <w:tr w:rsidR="00452847" w:rsidRPr="005468D2">
        <w:tc>
          <w:tcPr>
            <w:tcW w:w="4535" w:type="dxa"/>
            <w:tcBorders>
              <w:top w:val="single" w:sz="4" w:space="0" w:color="auto"/>
              <w:bottom w:val="nil"/>
            </w:tcBorders>
          </w:tcPr>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5468D2" w:rsidRDefault="00452847">
            <w:pPr>
              <w:pStyle w:val="ConsPlusNormal"/>
              <w:jc w:val="center"/>
              <w:rPr>
                <w:rFonts w:ascii="Times New Roman" w:hAnsi="Times New Roman" w:cs="Times New Roman"/>
                <w:sz w:val="28"/>
                <w:szCs w:val="28"/>
              </w:rPr>
            </w:pPr>
            <w:r w:rsidRPr="005468D2">
              <w:rPr>
                <w:rFonts w:ascii="Times New Roman" w:hAnsi="Times New Roman" w:cs="Times New Roman"/>
                <w:sz w:val="28"/>
                <w:szCs w:val="28"/>
              </w:rPr>
              <w:t>Угрозы (Т)</w:t>
            </w:r>
          </w:p>
        </w:tc>
      </w:tr>
      <w:tr w:rsidR="00452847" w:rsidRPr="005468D2">
        <w:tc>
          <w:tcPr>
            <w:tcW w:w="4535" w:type="dxa"/>
            <w:tcBorders>
              <w:top w:val="nil"/>
              <w:bottom w:val="single" w:sz="4" w:space="0" w:color="auto"/>
            </w:tcBorders>
          </w:tcPr>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lastRenderedPageBreak/>
              <w:t>1. Рост суммарного коэффициента рождаемости за счет расширения и повышения эффективности мер социальной поддержки семей с детьми на федеральном и областном уровнях.</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2. Привлечение на территорию района востребованных на рынке труда категорий мигрантов</w:t>
            </w:r>
          </w:p>
        </w:tc>
        <w:tc>
          <w:tcPr>
            <w:tcW w:w="4535" w:type="dxa"/>
            <w:tcBorders>
              <w:top w:val="nil"/>
              <w:bottom w:val="single" w:sz="4" w:space="0" w:color="auto"/>
            </w:tcBorders>
          </w:tcPr>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1. Снижение численности населения.</w:t>
            </w:r>
          </w:p>
          <w:p w:rsidR="00452847" w:rsidRPr="005468D2" w:rsidRDefault="00452847">
            <w:pPr>
              <w:pStyle w:val="ConsPlusNormal"/>
              <w:rPr>
                <w:rFonts w:ascii="Times New Roman" w:hAnsi="Times New Roman" w:cs="Times New Roman"/>
                <w:sz w:val="28"/>
                <w:szCs w:val="28"/>
              </w:rPr>
            </w:pPr>
            <w:r w:rsidRPr="005468D2">
              <w:rPr>
                <w:rFonts w:ascii="Times New Roman" w:hAnsi="Times New Roman" w:cs="Times New Roman"/>
                <w:sz w:val="28"/>
                <w:szCs w:val="28"/>
              </w:rPr>
              <w:t>2. Отток трудоспособного населения в другие регионы</w:t>
            </w:r>
          </w:p>
        </w:tc>
      </w:tr>
    </w:tbl>
    <w:p w:rsidR="00452847" w:rsidRPr="00ED1406" w:rsidRDefault="00452847">
      <w:pPr>
        <w:pStyle w:val="ConsPlusNormal"/>
        <w:jc w:val="both"/>
        <w:rPr>
          <w:rFonts w:ascii="Times New Roman" w:hAnsi="Times New Roman" w:cs="Times New Roman"/>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3.2. Стратегический (SWOT) анализ развития социальной защиты</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3.2</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Доля населения с доходами ниже величины прожиточного минимума.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Внедрение инновационных форм социального обслуживания граждан на дому.</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Благоприятные условия для жизни и самореализации инвалидов.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Повышение заработной платы работников учреждений социального обслуживания</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Недостаточная конкуренция на рынке социальных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Низкая инвестиционная привлекательность отрасли</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Гарантированное обеспечение прав льготных категорий граждан на социальное обслуживание и социальную поддержку.</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Внедрение новых технологий социального обслуживания.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Расширение участия некоммерческих организаций в сфере предоставления социальных услуг</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Отток кадров из сферы социального обслуживания в более привлекательные отрасли.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Увеличение числа населения, нуждающегося в социальной поддержке</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3.3. Стратегический (SWOT) анализ развития физической</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культуры и спорта 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lastRenderedPageBreak/>
        <w:t>Таблица 3.3</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Строительство и реконструкция учреждений физической культуры и спорта. В районе построены плавательный бассейн, стадион.</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Проведение спортивных мероприятий районного, межрегионального и всероссийского масштабов.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Удельный вес населения, систематически занимающегося спортом (39,5%), выше, чем в среднем по области (38%)</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Отсутствие системы подготовки тренерско-преподавательского состава.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Низкий охват населения старше 30 лет систематическими занятиями физической культурой и спортом.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Недостаточная обеспеченность населения объектами спортивной инфраструктуры</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Создание условий для всех категорий и групп населения для занятий физической культурой и спортом, массовым спортом за счет спортивных залов, ледовых дворцов, площадок с синтетическим покрытием;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Сохранение и укрепление здоровья населения на основе совершенствования спортивно-оздоровительных комплексов.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Увеличение доли граждан, систематически занимающихся физической культурой и спортом, до 60%.</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Поддержка некоммерческого сектора в сфере физической культуры и спорта в целях развития конкуренции и повышения качества услуг</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Потеря квалифицированных работников учреждений физической культуры в связи с непривлекательностью работы в физкультурных учреждениях</w:t>
            </w:r>
          </w:p>
        </w:tc>
      </w:tr>
    </w:tbl>
    <w:p w:rsidR="00452847" w:rsidRPr="00ED1406" w:rsidRDefault="00452847">
      <w:pPr>
        <w:pStyle w:val="ConsPlusNormal"/>
        <w:jc w:val="both"/>
        <w:rPr>
          <w:rFonts w:ascii="Times New Roman" w:hAnsi="Times New Roman" w:cs="Times New Roman"/>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3.4. Стратегический (SWOT) анализ развития здравоохранения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3.4</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Рост профилактической составляющей в деятельности здравоохранения. Осуществление диспансеризации населения.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Развитая материально-техническая база здравоохранения. Обеспеченность медицинских учреждений современным высокотехнологичным медицинским оборудованием.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Повышение заработной платы врачей и иных медицинских работников</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Дефицит врачей, в том числе, первичного звена и диагностов.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Недостаток реабилитационной сети</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Развитие и внедрение перспективных высокотехнологичных видов медицинской помощи на базе имеющихся медицинских учреждений.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Внедрение и совершенствование современных технологий (медицинских и информационных) в сфере профилактики, диагностики, лечения и реабилитации социально значимых заболеваний.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Поддержка некоммерческого сектора в сфере здравоохранения в целях развития конкуренции и повышения качества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Снижение смертности населения трудоспособного возраста, от болезней системы кровообращения, новообразований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Отток медицинских кадров в частный сектор и более привлекательные отрасли экономики.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Старение кадров.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Рост заболеваемости населения на фоне высокой экологической нагрузки</w:t>
            </w:r>
          </w:p>
        </w:tc>
      </w:tr>
    </w:tbl>
    <w:p w:rsidR="00452847" w:rsidRPr="00ED1406" w:rsidRDefault="00452847">
      <w:pPr>
        <w:pStyle w:val="ConsPlusNormal"/>
        <w:jc w:val="both"/>
        <w:rPr>
          <w:rFonts w:ascii="Times New Roman" w:hAnsi="Times New Roman" w:cs="Times New Roman"/>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3.5. Стратегический (SWOT) анализ развития образования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3.5</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Доступность образовательных услуг (развитая сеть образовательных учреждений всех типов и видов).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Развитая материально-техническая база.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Обеспеченность кадрами и их достаточно высокий профессиональный уровень.</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Наличие системы социальной поддержки учащихся и учителей.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100-процентная доступность дошкольного образования для детей от 3 до 7 лет, подавших заявки в детские образовательные учреждения.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Повышение заработной платы педагогических работников общего, дошкольного образования, мастеров производственного обучения</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"Старение" педагогических кадров.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Слабая инвестиционная привлекательность сферы образования, недостаточное развитие частных образовательных учреждений.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Недостаточная доступность дошкольного образования для детей до 3 лет</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Развитие материально-технической базы учреждений образования.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Привлечение внебюджетных средств в образовательную сферу.</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Стимулирование создания негосударственных образовательных учреждений.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Создание дополнительных мест в организациях дошкольного и общего образования.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Переход общеобразовательных организаций на односменный режим обучения.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Повышение доступности дополнительного образования детей, в том числе в сельской местности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Снижение привлекательности педагогических специальностей на рынке труда.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Невостребованность подготовленных специалистов на рынке труда из-за несовершенства государственного заказа на подготовку кадров в сфере профессионального образования</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3.6. Стратегический (SWOT) анализ развития культуры</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3.6</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Развитая сеть учреждений искусства, культурно-досуговых и библиотечных учреждений.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Наличие сильных творческих коллективов,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Поддержка ведущих деятелей культуры и искусства, творческой молодежи.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Капитальный ремонт и строительство новых зданий для учреждений культуры.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Развитие народных промыслов.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Повышение заработной платы работников учреждений культуры</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Изношенность материально-технической базы и оборудования учреждений культуры.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Недостаточно высокий кадровый потенциал, связанный, в первую очередь, со старением кадров отрасли и дефицитом молодых специалистов</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Укрепление материально-технической базы учреждений отрасли.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Строительство и капитальный ремонт учреждений, включая строительство сельских Домов культуры.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Внедрение новых форм и технологий в сферу культуры, в том числе информационных</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Сокращение инвестиционных вложений в проекты в сфере культуры.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Изменение предпочтений потребителей услуг, в том числе молодежи, в проведении культурного досуга.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Исчезновение народных традиций, промыслов, ремесел.</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Отток профессиональных кадров из сферы культуры</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3.7. Стратегический (SWOT) анализ развития туризма</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в Грязинском муниципальном районе</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3.7</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Удобное географическое положение, умеренно-континентальный климат, благоприятный для развития туризма.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23. Наличие на территории района ряда природных, исторических, культурных объектов</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Несоответствие потребительских характеристик туриндустрии требованиям современного рынка.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Недостаточность инвестиционных вложений в объекты туризма</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Привлечение туристов на объекты показа природно-рекреационного, историко-культурного и индустриального потенциала</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Возможность утраты объектов показа в связи с естественным разрушением памятников историко-культурного наследия.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Сокращение туристического потока в связи с неблагоприятной экологической обстановкой</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3.8. Стратегический (SWOT) анализ развития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правоохранительной и общественно-политической деятельности</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в Грязинском муниципальном районе</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3.8</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Стабильное социально-экономическое положение области.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Отлаженное взаимодействие между органами исполнительной власти, местного самоуправления и федеральными правоохранительными и правоприменительными структурами.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Наличие межведомственных комиссий по противодействию терроризму, преступности, наркомании, защите населения от чрезвычайных ситуаций.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4. Наличие сформированной эффективной системы обеспечения безопасности населения от чрезвычайных ситуаций и пожаров.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Внедрение современных технологий в системы безопасности общества.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Развитие институтов гражданского общества, политической системы, некоммерческого сектора</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Недостаточная профессиональная подготовка специалистов.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Недостаточный уровень правовой грамотности населения.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Недостаточная гражданская солидарность, патриотическая активность населения</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Обеспечение системы экстренного реагирования на возникновение чрезвычайных ситуаций.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Повышение уровня правового воспитания населения, в том числе детей и молодежи.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Поддержка межнационального согласия, обеспечение стабильной социально-политической обстановки в районе.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Развитие сектора социально ориентированных некоммерческих организаций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Угроза чрезвычайных ситуаций техногенного характера в связи с нахождением на территории района потенциально опасных объектов.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Угроза религиозного и национального экстремизма</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3.9. Стратегический (SWOT) анализ развития строительного</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комплекса 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3.9</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Наличие сырьевой базы различных нерудных строительных материалов (песок, щебень, глина).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Использование современных строительных технологий.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Освоено малоэтажное строительство.</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4. Высокие объемы жилищного и дорожного строительства.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Район полностью обеспечена документами территориального планирования.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7. Утверждены местные нормативы градостроительного проектирования.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8. Высокая инвестиционная привлекательность района</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Высокая доля производственных издержек на транспорт, электрическую энергию, ГСМ.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Высокая степень физического и морального износа основных фондов предприятий.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Часть строительных материалов </w:t>
            </w:r>
            <w:r w:rsidRPr="00B91E14">
              <w:rPr>
                <w:rFonts w:ascii="Times New Roman" w:hAnsi="Times New Roman" w:cs="Times New Roman"/>
                <w:sz w:val="28"/>
                <w:szCs w:val="28"/>
              </w:rPr>
              <w:lastRenderedPageBreak/>
              <w:t>ввозится из других регионов (стекло, лесоматериалы, алюминиевые изделия, электротовары).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Ввиду климатических особенностей строительная отрасль подвержена сезонным колебаниям.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Низкая доля строительства жилья строительными организациями по сравнению с индивидуальным строительством.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Отсутствие рынка арендного жилья и жилья социального найма</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lastRenderedPageBreak/>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Увеличение количества семей граждан, улучшивших жилищные условия, в т.ч. за счет оказания государственной поддержки на приобретение и строительство жилья.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Повышение доступности жилья для населения.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Ввод в эксплуатацию не менее 70 тыс. кв. м общей площади жилых домов ежегодно.</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Обеспечение земельных участков под индивидуальное жилищное строительство коммунальной и соц. инфраструктурой.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Создание условий для повышения качества индустриального жилищного строительства, в том числе посредством стимулирования внедрения передовых технологий в проектировании и строительстве</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Рост тарифов на ГСМ, электрическую энергию и коммунальное обслуживание.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Повышение процентной ставки по ипотечным кредитам.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Резкое сокращение рынка сбыта.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Монополизация рынков и резкий рост цен на строительные материалы.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Снижение объемов финансирования областных и федеральных программ</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3.10. Стратегический (SWOT) анализ развития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жилищно-коммунального комплекса Грязинского</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3.10</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lastRenderedPageBreak/>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Стабильное обеспечение потребителей коммунальными ресурсами предприятиями коммунального комплекса.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Значительные объемы запасов подземных вод.</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Наличие программ поддержки и развития жилищно-коммунального хозяйства, формирования современной городской среды.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Наличие субсидий и льгот отдельным категориям граждан на оплату жилищно-коммунальных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Наличие операторов по обращению с твердыми коммунальными отходами.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Высокий охват населения услугой по вывозу твердых коммунальных отходов.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7. Полностью ликвидировано аварийное жилье, признанное таковым на 1 января 2012 года</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Высокий физический и моральный износ инженерных сетей.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Отсутствие системы перспективного развития водно-коммунального хозяйства области.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Недостаток кадров в сфере ЖКХ.</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Низкая инвестиционная привлекательность объектов коммунального комплекса.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Недостаточный уровень внедрения новых технологий.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Значительный объем жилищного фонда, нуждающегося в капитальном ремонте.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7. Недостаточное количество современных, благоустроенных, комфортных общественных и дворовых территорий</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Расширение конкуренции в жилищно-коммунальной сфере.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Привлечение в сферу ЖКХ инвестиционных средств на модернизацию объектов в рамках муниципально-частного партнерства, концессионных соглашений.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Повышение качества питьевой воды посредством внедрения новых технологий по эксплуатации и строительству систем водоснабжения и водоотведения.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Развитие раздельного сбора твердых коммунальных отходов.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Повышение качества содержания жилья, благоустройства придомовых территорий.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6. Рост объемов и качества </w:t>
            </w:r>
            <w:r w:rsidRPr="00B91E14">
              <w:rPr>
                <w:rFonts w:ascii="Times New Roman" w:hAnsi="Times New Roman" w:cs="Times New Roman"/>
                <w:sz w:val="28"/>
                <w:szCs w:val="28"/>
              </w:rPr>
              <w:lastRenderedPageBreak/>
              <w:t>капитального ремонта общего имущества многоквартирных домов</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Повышение вероятности возникновения аварий на объектах жилищно-коммунального хозяйства, связанное с нарастающим износом основных фондов.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Снижение платежеспособности населения и предприятий, рост задолженности по оплате услуг жилищно-коммунального хозяйства.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Снижение объемов бюджетного финансирования.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Возможность банкротства предприятий ЖКХ.</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Исчерпание мощностей по захоронению твердых коммунальных отходов.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Недостаточное использование современных технологий в области благоустройства населенных мест.</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7. Отсутствие механизмов расселения аварийного жилья, признанного таковым после 1 января 2012 года</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3.11. Стратегический (SWOT) анализ развития трудовых</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ресурсов, обеспечение занятости населения Грязинского</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3.11</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Низкий уровень регистрируемой безработицы.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Отсутствие напряженности на рынке труда (количество вакансий в 3 раза превышает количество безработных).</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Организована подготовка кадров по всем массовым профессиям и специальностям, востребованным предприятиями.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Развитие сельскохозяйственных потребительских кооперативов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Отток кадров, в т.ч. молодежи.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Уровень учебно-материальной базы профессиональных образовательных учреждений не в полной мере соответствует требованиям производств, внедряющих новые технологии.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Низкий уровень государственной поддержки развития сельскохозяйственных кооперативов и личных подсобных хозяйств.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Несоответствие между числом вовлеченных в сельскохозяйственные кооперативы сельских жителей и уровнем их дополнительных доходов от реализации продукции</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Использование резервов трудовых ресурсов для развития производства.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Возможность привлечения предприятиями трудовых ресурсов из других населенных пунктов за счет развитого транспортного сообщения и небольших расстояний между населенными пунктами.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3. Формирование системы непрерывного обновления работающими гражданами своих профессиональных знаний и приобретение ими новых профессиональных навыков.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Сокращение производственного травматизма и профессиональной заболеваемости.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Рост заработной платы за счет повышения производительности труда и создания высокотехнологичных производств.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7. Рост дополнительных доходов сельских жителей за счет членства в сельскохозяйственных потребительских кооперативах</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Невостребованность специалистов отдельных профессий на рынке труда.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 связи с созданием и развитием особой экономической зоной ППТ "Липецк" может возникнуть дефицит кадров.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Снижение численности молодежи как движущей силы освоения </w:t>
            </w:r>
            <w:r w:rsidRPr="00B91E14">
              <w:rPr>
                <w:rFonts w:ascii="Times New Roman" w:hAnsi="Times New Roman" w:cs="Times New Roman"/>
                <w:sz w:val="28"/>
                <w:szCs w:val="28"/>
              </w:rPr>
              <w:lastRenderedPageBreak/>
              <w:t>передовых технологий.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Стагнация дальнейшего развития сельскохозяйственных потребительских кооперативов из-за несовершенства законодательного регулирования</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3.12. Стратегический (SWOT) анализ развития промышленности</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3.12</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Высокий уровень промышленного потенциала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Среднегодовой темп роста объема промышленного производства в 2006 - 2017 гг. - 104%.</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Высокая инвестиционная привлекательность.</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Динамичное развитие ОЭЗ "ППТ" Липецк".</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Высокий уровень внедрения технологических инноваций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Недостаточный рост производительности труда в отдельных производствах, в т.ч. машиностроении и производстве пищевых продуктов.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Недостаток научно-технических компетенций для опережающего развития новых высокотехнологичных и наукоемких отраслей промышленности</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1. Увеличение объемов промышленного производства в результате роста производительности труда, в </w:t>
            </w:r>
            <w:r w:rsidRPr="00B91E14">
              <w:rPr>
                <w:rFonts w:ascii="Times New Roman" w:hAnsi="Times New Roman" w:cs="Times New Roman"/>
                <w:sz w:val="28"/>
                <w:szCs w:val="28"/>
              </w:rPr>
              <w:lastRenderedPageBreak/>
              <w:t>первую очередь, в машиностроении и производстве пищевых продуктов.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Строительство крупными мировыми производителями высокотехнологичных конкурентоспособных предприятий в ОЭЗ ППТ "Липецк".</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5. Развитие и продвижение передовых производственных технологий, обеспечивающих конкурентоспособность предприятий района на рынках НТИ и в высокотехнологичных отраслях промышленности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Низкий экспортный потенциал отраслей неметаллургической сферы.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Негативное влияние </w:t>
            </w:r>
            <w:r w:rsidRPr="00B91E14">
              <w:rPr>
                <w:rFonts w:ascii="Times New Roman" w:hAnsi="Times New Roman" w:cs="Times New Roman"/>
                <w:sz w:val="28"/>
                <w:szCs w:val="28"/>
              </w:rPr>
              <w:lastRenderedPageBreak/>
              <w:t>экономических санкций на рост объемов производства.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Дефицит квалифицированных кадров, необходимых для разработки передовых производственных технологий в рамках развития рынков НТИ</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3.13. Стратегический (SWOT) анализ развития инвестиций</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В Грязинском муниципальном районе</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3.13</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Создан благоприятный инвестиционный климат.</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Район занимает 1 место в Липецкой области по объему инвестиций на душу населения</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Недостаточный уровень развития механизма муниципально-частного партнерства для привлечения инвестиций в развитие социальной сферы.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Снижение доли инвестирования в машины, оборудование и транспортные средства относительно уровня 2006 г.</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Привлечение частных инвестиций на условиях муниципально-частного партнерства в развитие общественной и социальной инфраструктуры.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Увеличение количества экспортеров и объема экспортируемой продукции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Антироссийские санкции могут привести к снижению объемов экспорта машиностроительной и пищевой продукции</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lastRenderedPageBreak/>
        <w:t>3.14. Стратегический (SWOT) анализ развития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агропромышленного комплекса Грязинского</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3.14</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Устойчивый рост производства продукции, рост объемов производства в среднем за 2005 - 2017 годы составил: в сельском хозяйстве - 106%, в пищевой промышленности - 102%.</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Стабильно высокий уровень господдержки.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Наращивание переработки масличных культур.</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Стабильно высокие урожаи зерновых культур, полная обеспеченность зернохранилищами.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Благоприятные природно-климатические условия, наличие черноземных плодородных земель.</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Большое число малых аграрных форм хозяйствования (сельскохозяйственных кооперативов, личных подсобных хозяйств и фермеров), которые обеспечивают более 30% валового производства сельхозпродукции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Существенное преобладание растениеводства в валовом производстве продукции сельского хозяйства.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Низкий уровень обеспеченности отечественными семенами по большинству сельскохозяйственных культур, поголовьем племенных сельскохозяйственных животных и птицы, инкубационным яйцом и биоматериалами.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Недостаточный уровень самообеспеченности молоком и молочными продуктами.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Диспаритет цен на сельскохозяйственную продукцию.</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Низкая товарность сельскохозяйственной продукции в личных подсобных хозяйствах</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Рост объемов производства сельскохозяйственной продукции за счет:</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применения отечественных инновационных технологий в семеноводстве и племенном животноводстве;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развития малых аграрных форм хозяйствования (личных подсобных хозяйств, фермеров).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2. Переориентация государственной поддержки на развитие малых аграрных форм хозяйствования, внедрение механизма квотирования субсидий (грантов).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Создание новых рабочих мест и повышение уровня жизни в сельской местности за счет развития сельскохозяйственной кооперации, вовлечения в кооперативы сельских жителей, устойчивого развития сельских территорий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Снижение государственной поддержки аграрного сектора, ее преимущественная ориентация на крупные сельхозорганизации.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Отсутствие (прекращение) поставок импортных семян, племенного скота, инкубационного яйца и биоматериалов.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Вероятность возникновения заразных и иных заболеваний </w:t>
            </w:r>
            <w:r w:rsidRPr="00B91E14">
              <w:rPr>
                <w:rFonts w:ascii="Times New Roman" w:hAnsi="Times New Roman" w:cs="Times New Roman"/>
                <w:sz w:val="28"/>
                <w:szCs w:val="28"/>
              </w:rPr>
              <w:lastRenderedPageBreak/>
              <w:t>сельскохозяйственных животных и птицы.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Рост себестоимости продукции при увеличении цен на энергоносители.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Старение сельского населения, отток молодежи из сельской местности</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3.15. Стратегический (SWOT) анализ развития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энергетического комплекса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3.15</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Высокий уровень газификации территории области (98%).</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Качественное и надежное обеспечение потребителей энергоресурсами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Высокий износ объектов инженерной инфраструктуры энергетического комплекса (более 60%).</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Недостаточный уровень внедрения инновационных технологий</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Реализация мероприятий по модернизации, энергосбережению, переходу к новым техническим решениям, технологическим процессам и оптимизационным формам управления в энергетическом комплексе</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Высокий уровень износа объектов инженерной инфраструктуры энергетического комплекса создает риск снижения качества и надежности обеспечения потребителей энергией в долгосрочной перспективе.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Рост тарифов на энергоносители и, как результат, повышение стоимости жилья и коммунальных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Снижение платежеспособности населения и предприятий, рост </w:t>
            </w:r>
            <w:r w:rsidRPr="00B91E14">
              <w:rPr>
                <w:rFonts w:ascii="Times New Roman" w:hAnsi="Times New Roman" w:cs="Times New Roman"/>
                <w:sz w:val="28"/>
                <w:szCs w:val="28"/>
              </w:rPr>
              <w:lastRenderedPageBreak/>
              <w:t>задолженности по оплате услуг за энергоресурсы.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Возможный дефицит высококвалифицированных кадров при внедрении цифровых технологий в энергетическом комплексе</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3.16. Стратегический (SWOT) анализ развития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потребительского рынка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3.16</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Развитая инфраструктура торговли, общественного питания, бытового обслуживания населения.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Высокая обеспеченность торговыми площадями (на 1 тыс. жителей) населения района.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Устойчивый рост объемов розничного оборота и бытовых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Высокая насыщенность предприятий торговли продовольственными товарами первой необходимости за счет местного производства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Оказание государственной поддержки на развитие торгового и бытового обслуживания сельского населения из областного бюджета.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Развитие электронных сервисов реализации сельскохозяйственной продукции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Преимущественное размещение торговых объектов в городах и крупных сельских населенных пунктах.</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28 малочисленных отдаленных сельских населенных пунктов с численностью населения 2200 чел. не обеспечены стационарными торговыми объектами.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Низкая обеспеченность жителей области специализированными магазинами по продаже непродовольственных товаров: мебель, стройматериалы, хозяйственные товары, электротовары, одежда, обувь, ткани и т.п.</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Развитие потребительского рынка через создание и расширение современных форматов: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 торговых комплексов с полным </w:t>
            </w:r>
            <w:r w:rsidRPr="00B91E14">
              <w:rPr>
                <w:rFonts w:ascii="Times New Roman" w:hAnsi="Times New Roman" w:cs="Times New Roman"/>
                <w:sz w:val="28"/>
                <w:szCs w:val="28"/>
              </w:rPr>
              <w:lastRenderedPageBreak/>
              <w:t>спектром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специализированных брендовых продовольственных магазинов "шаговой доступности" по продаже продукции местных товаропроизводителей, в том числе кооперативной продукции.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Создание и увеличение площади специализированных магазинов по продаже непродовольственных товаров, расширение ассортимента предлагаемых товаров за счет привлечения отечественных и мировых брендов.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Обеспечение малочисленных отдаленных сельских населенных пунктов товарами и услугами за счет организации развозной торговли и бытового обслуживания.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Расширение ассортимента предлагаемых товаров на потребительском рынке.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Развитие интернет-торговли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 xml:space="preserve">1. Нерегулированное развитие дистанционной (интернет) торговли может привести к сокращению площади стационарных торговых </w:t>
            </w:r>
            <w:r w:rsidRPr="00B91E14">
              <w:rPr>
                <w:rFonts w:ascii="Times New Roman" w:hAnsi="Times New Roman" w:cs="Times New Roman"/>
                <w:sz w:val="28"/>
                <w:szCs w:val="28"/>
              </w:rPr>
              <w:lastRenderedPageBreak/>
              <w:t>объектов по продаже непродовольственных товаров.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Наполнение потребительского рынка низкокачественными и фальсифицированными товарами.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Снижение покупательской способности населения</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3.17. Стратегический (SWOT) анализ развития малого</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и среднего бизнеса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3.17</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Предоставление финансовой поддержки в виде субсидий для приоритетных видов деятельности.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Создана инфраструктура поддержки для субъектов МСП: Центр поддержки предпринимательства.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В целях снижения административных барьеров осуществляется: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 деятельность Координационного Совета по развитию малого и </w:t>
            </w:r>
            <w:r w:rsidRPr="00B91E14">
              <w:rPr>
                <w:rFonts w:ascii="Times New Roman" w:hAnsi="Times New Roman" w:cs="Times New Roman"/>
                <w:sz w:val="28"/>
                <w:szCs w:val="28"/>
              </w:rPr>
              <w:lastRenderedPageBreak/>
              <w:t>среднего предпринимательства под руководством главы района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проведение общественной экспертизы законопроектов;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Предоставление свободного муниципального имущества во владение и пользование субъектам МСП на возмездной основе, в т.ч. на льготных условиях, и на безвозмездной основе.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7. Методическое и информационное обеспечение субъектов МСП</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В структуре оборота малого и среднего бизнеса основную долю занимает непроизводственный сектор - торговля (70%)</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Дефицит свободных площадей для размещения объектов малого и среднего бизнеса</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Улучшение условий ведения предпринимательской деятельности в целях увеличения вклада малого и среднего бизнеса в экономику района.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Расширение доступа субъектов МСП к финансовым ресурсам, в том числе к льготному финансированию.</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Совершенствование системы закупок, осуществляемых крупнейшими заказчиками у субъектов МСП.</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Снижение внутреннего спроса на производимую продукцию МСП.</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Появление на региональных рынках крупных сетевых компаний, что способствует вытеснению МСП и снижает уровень конкуренции.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Снижение рентабельности субъектов МСП при изменениях в налоговом законодательстве и росте цен на энергоносители может привести к переходу субъектов МСП в неформальный сектор экономики</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3.18. Стратегический (SWOT) анализ развития транспортной</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инфраструктуры 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3.18</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Развитая транспортная инфраструктура, которая включает в себя автомобильные и железные дороги,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2. Высокая обеспеченность населения транспортными </w:t>
            </w:r>
            <w:r w:rsidRPr="00B91E14">
              <w:rPr>
                <w:rFonts w:ascii="Times New Roman" w:hAnsi="Times New Roman" w:cs="Times New Roman"/>
                <w:sz w:val="28"/>
                <w:szCs w:val="28"/>
              </w:rPr>
              <w:lastRenderedPageBreak/>
              <w:t>услугами.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Внедрение автоматизированной системы безналичной оплаты проезда пассажиров и провозки багажа</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Высокий уровень протяженности дорог, не соответствующих нормативным требованиям к транспортно-эксплуатационным показателям.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2. Рост доли автомобильных дорог, </w:t>
            </w:r>
            <w:r w:rsidRPr="00B91E14">
              <w:rPr>
                <w:rFonts w:ascii="Times New Roman" w:hAnsi="Times New Roman" w:cs="Times New Roman"/>
                <w:sz w:val="28"/>
                <w:szCs w:val="28"/>
              </w:rPr>
              <w:lastRenderedPageBreak/>
              <w:t>работающих в режиме перегрузки.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Высокая степень износа подвижного состава.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Наблюдается высокий уровень смертности в результате дорожно-транспортных происшествий</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lastRenderedPageBreak/>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Повышение доли автомобильных дорог, соответствующих нормативным требованиям.</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Строительство окружных дорог с целью снижения нагрузки на существующую сеть увеличения пропускной способности.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Развитие и улучшение городских улично-дорожных сетей и совершенствование системы организации и регулирования дорожного движения с целью повышения безопасности дорожного движения и снижения уровня смертности в результате дорожно-транспортных происшествий.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Развитие муниципально-частного партнерства в целях привлечения частных инвестиций.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Обновление парка подвижного состава автотранспортных предприятий.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Внедрение автоматизированной системы безналичной оплаты проезда пассажиров и провозки багажа для 100% пассажиров с целью повышения прозрачности финансовых операций пассажироперевозчиков</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Отставание в развитии дорожной сети от потребностей экономики и населения.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Увеличение экологической нагрузки и снижение уровня безопасности движения в связи с ростом автомобилизации населения</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3.19. Стратегический (SWOT) анализ окружающей среды,</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природопользования и лесного хозяйства Грязинского</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3.19</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lastRenderedPageBreak/>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Наличие черноземов.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Обеспеченность питьевой водой из подземных источников.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Наличие особо охраняемых природных территорий.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Наличие системы мониторинга состояния окружающей среды и проведения природоохранных мероприятий.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Использование спутниковых навигационных технологий и систем видеомониторинга для раннего обнаружения лесных пожаров.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Отсутствие лесных пожаров на протяжении последних 7 лет</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Низкий уровень внедрения малоотходных технологий и современных систем очистки выбросов и стоков.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Неразвитость производств по вторичному использованию отходов производства и потребления.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Наличие несанкционированных свалок.</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Низкая доля сточных вод, очищенных до нормативных значений.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Сокращение биологического разнообразия живых организмов (растения и животные)</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Снижение объемов выбросов в атмосферу загрязняющих веществ.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Внедрение малоотходных технологий и современных систем очистки выбросов и стоков на предприятиях с высокой степенью негативного воздействия на окружающую среду.</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Оптимизация дорожного движения, увеличение числа транспорта с улучшенными экологическими характеристиками.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Развитие системы мониторинга выбросов загрязняющих веществ с применением средств автоматизированного контроля.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Внедрение эффективной системы обращения с отходами производства и потребления, включая ликвидацию несанкционированных свалок.</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6. Повышение качества питьевой воды за счет строительства, реконструкции и расширения </w:t>
            </w:r>
            <w:r w:rsidRPr="00B91E14">
              <w:rPr>
                <w:rFonts w:ascii="Times New Roman" w:hAnsi="Times New Roman" w:cs="Times New Roman"/>
                <w:sz w:val="28"/>
                <w:szCs w:val="28"/>
              </w:rPr>
              <w:lastRenderedPageBreak/>
              <w:t>системы централизованного водоснабжения.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7. Экологическое оздоровление водных объектов, восстановление их гидрологических и гидравлических характеристик.</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8. Проведение мероприятий по строительству (реконструкции, модернизации) очистных сооружений для качественной очистки сточных вод.</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9. Обеспечение баланса выбытия и воспроизводства лесов</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Угрозы планетарного или глобального характера, обусловленные изменением климата и трансграничными воздействиями.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Увеличение уровня воздействия на окружающую среду при вводе новых промышленных и а также расширения производств.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Исчерпание мощностей по захоронению твердых коммунальных отходов.</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Высокая доля площади лесов, поврежденных микроорганизмами и требующих проведения санитарно-оздоровительных мероприятий</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3.20. Стратегический (SWOT) анализ муниципального управления</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3.20</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100% охват граждан, имеющих доступ к получению государственных услуг по принципу "одного окна" по месту пребывания, в том числе в многофункциональных центрах.</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Высокая доля граждан, использующих механизм получения государственных и муниципальных услуг в электронной форме.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Умеренная долговая нагрузка к собственным доходам бюджета без учета объема безвозмездных поступлений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Высокая доля убыточных муниципальных унитарных предприятий, коммерческих организаций с долей областной собственности в уставном капитале.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Рост расходов на оказание финансовой помощи бюджетам сельских поселений</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Повышение эффективности деятельности унитарных предприятий, коммерческих организаций с долей областной собственности в уставном капитале.</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4. Снижение диспропорций в территориальном развитии.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Совершенствование подходов к организации межбюджетных отношений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Зависимость бюджетной системы от крупнейших налогоплательщиков</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3.21. Стратегический (SWOT) анализ развития связи</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и телекоммуникаций в Грязинском муниципальном районе</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3.21</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Компактность территории.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Высокая степень развития телекоммуникационной инфраструктуры.</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Развитая конкурентная среда в сфере телекоммуникационных услуг на территории района.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Динамичность развития и инновационный характер телекоммуникационной отрасли, высокая технологичность и наукоемкость ее продукции.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Устойчивый спрос на телекоммуникационные услуги у населения, предприятий и организаций</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Неравномерность развития телекоммуникационной инфраструктуры в разрезе сельских поселений.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Низкая доля присутствия организаций, предоставляющих телекоммуникационные услуги, в сельской местности</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Внедрение новых передовых технологий в телекоммуникационной отрасли, что значительно расширяет перечень предлагаемых услуг.</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2. Реализация федерального проекта по устранению цифрового неравенства, в рамках которого организуются точки доступа к сети Интернет на скорости не менее 10 Мбит/сек в населенных пунктах с </w:t>
            </w:r>
            <w:r w:rsidRPr="00B91E14">
              <w:rPr>
                <w:rFonts w:ascii="Times New Roman" w:hAnsi="Times New Roman" w:cs="Times New Roman"/>
                <w:sz w:val="28"/>
                <w:szCs w:val="28"/>
              </w:rPr>
              <w:lastRenderedPageBreak/>
              <w:t>численностью от 250 до 500 жителей.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Гибкое тарифообразование, формирование "пакетных предложений" с преимуществами по цене и возможностям</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Высокая доля импортируемого оборудования и программного обеспечения, что негативно сказывается на финансовой устойчивости участников телекоммуникационного рынка</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jc w:val="center"/>
        <w:outlineLvl w:val="2"/>
        <w:rPr>
          <w:rFonts w:ascii="Times New Roman" w:hAnsi="Times New Roman" w:cs="Times New Roman"/>
          <w:sz w:val="28"/>
          <w:szCs w:val="28"/>
        </w:rPr>
      </w:pPr>
      <w:r w:rsidRPr="00B91E14">
        <w:rPr>
          <w:rFonts w:ascii="Times New Roman" w:hAnsi="Times New Roman" w:cs="Times New Roman"/>
          <w:sz w:val="28"/>
          <w:szCs w:val="28"/>
        </w:rPr>
        <w:t>3.22. Стратегический (SWOT) анализ развития молодежной</w:t>
      </w:r>
    </w:p>
    <w:p w:rsidR="00452847" w:rsidRPr="00B91E14" w:rsidRDefault="00452847">
      <w:pPr>
        <w:pStyle w:val="ConsPlusTitle"/>
        <w:jc w:val="center"/>
        <w:rPr>
          <w:rFonts w:ascii="Times New Roman" w:hAnsi="Times New Roman" w:cs="Times New Roman"/>
          <w:sz w:val="28"/>
          <w:szCs w:val="28"/>
        </w:rPr>
      </w:pPr>
      <w:r w:rsidRPr="00B91E14">
        <w:rPr>
          <w:rFonts w:ascii="Times New Roman" w:hAnsi="Times New Roman" w:cs="Times New Roman"/>
          <w:sz w:val="28"/>
          <w:szCs w:val="28"/>
        </w:rPr>
        <w:t>политики Грязинского муниципального района</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right"/>
        <w:rPr>
          <w:rFonts w:ascii="Times New Roman" w:hAnsi="Times New Roman" w:cs="Times New Roman"/>
          <w:sz w:val="28"/>
          <w:szCs w:val="28"/>
        </w:rPr>
      </w:pPr>
      <w:r w:rsidRPr="00B91E14">
        <w:rPr>
          <w:rFonts w:ascii="Times New Roman" w:hAnsi="Times New Roman" w:cs="Times New Roman"/>
          <w:sz w:val="28"/>
          <w:szCs w:val="28"/>
        </w:rPr>
        <w:t>Таблица 3.22</w:t>
      </w:r>
    </w:p>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(S), слабые (W) стороны, возможности (О)</w:t>
      </w:r>
    </w:p>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и угрозы (Т)</w:t>
      </w:r>
    </w:p>
    <w:p w:rsidR="00452847" w:rsidRPr="00B91E1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Сильные стороны (S)</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Слабые стороны (W)</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Восприимчивость молодежи к новому, рост инновационной активности.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Заинтересованность молодежи в сохранении своего здоровья.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Стремление к интеграции в международное молодежное сообщество.</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Рост самостоятельности, практичности и мобильности, ответственности за свою судьбу.</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5. Повышение среди молодежи престижности качественного образования и профессиональной подготовки.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6. Поддержка талантливой молодежи</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Недостаточная эффективность влияния молодежи на общественную жизнь, вовлечения молодых людей в деятельность органов власти.</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Несоответствие системы профобразования запросам рынка труда.</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3. Недостаточная инициативность молодежных общественных объединений и некоммерческих объединений.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Недостаточно развитые современные компьютерные и электронные системы информирования по вопросам жизни молодежи в обществе</w:t>
            </w:r>
          </w:p>
        </w:tc>
      </w:tr>
      <w:tr w:rsidR="00452847" w:rsidRPr="00B91E14">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Возможности (О)</w:t>
            </w:r>
          </w:p>
        </w:tc>
        <w:tc>
          <w:tcPr>
            <w:tcW w:w="4535" w:type="dxa"/>
            <w:tcBorders>
              <w:top w:val="single" w:sz="4" w:space="0" w:color="auto"/>
              <w:bottom w:val="nil"/>
            </w:tcBorders>
          </w:tcPr>
          <w:p w:rsidR="00452847" w:rsidRPr="00B91E14" w:rsidRDefault="00452847">
            <w:pPr>
              <w:pStyle w:val="ConsPlusNormal"/>
              <w:jc w:val="center"/>
              <w:rPr>
                <w:rFonts w:ascii="Times New Roman" w:hAnsi="Times New Roman" w:cs="Times New Roman"/>
                <w:sz w:val="28"/>
                <w:szCs w:val="28"/>
              </w:rPr>
            </w:pPr>
            <w:r w:rsidRPr="00B91E14">
              <w:rPr>
                <w:rFonts w:ascii="Times New Roman" w:hAnsi="Times New Roman" w:cs="Times New Roman"/>
                <w:sz w:val="28"/>
                <w:szCs w:val="28"/>
              </w:rPr>
              <w:t>Угрозы (Т)</w:t>
            </w:r>
          </w:p>
        </w:tc>
      </w:tr>
      <w:tr w:rsidR="00452847" w:rsidRPr="00B91E14">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1. Создание условий для интеграции молодых граждан в социально-экономические, общественно-политические и социокультурные отношения.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Совершенствование форм и методов физического воспитания молодых жителей.</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Дальнейшая поддержка </w:t>
            </w:r>
            <w:r w:rsidRPr="00B91E14">
              <w:rPr>
                <w:rFonts w:ascii="Times New Roman" w:hAnsi="Times New Roman" w:cs="Times New Roman"/>
                <w:sz w:val="28"/>
                <w:szCs w:val="28"/>
              </w:rPr>
              <w:lastRenderedPageBreak/>
              <w:t>развивающегося детского и молодежного движения.</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4. Пропаганда здорового образа жизни, профилактика асоциальных проявлений в молодежной среде</w:t>
            </w:r>
          </w:p>
        </w:tc>
        <w:tc>
          <w:tcPr>
            <w:tcW w:w="4535" w:type="dxa"/>
            <w:tcBorders>
              <w:top w:val="nil"/>
              <w:bottom w:val="single" w:sz="4" w:space="0" w:color="auto"/>
            </w:tcBorders>
          </w:tcPr>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lastRenderedPageBreak/>
              <w:t>1. Криминализация в молодежной среде, воздействие деструктивных субкультур и сообществ на молодежь.</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2. Влияние деструктивных информационных потоков на молодежную среду.</w:t>
            </w:r>
          </w:p>
          <w:p w:rsidR="00452847" w:rsidRPr="00B91E14" w:rsidRDefault="00452847">
            <w:pPr>
              <w:pStyle w:val="ConsPlusNormal"/>
              <w:rPr>
                <w:rFonts w:ascii="Times New Roman" w:hAnsi="Times New Roman" w:cs="Times New Roman"/>
                <w:sz w:val="28"/>
                <w:szCs w:val="28"/>
              </w:rPr>
            </w:pPr>
            <w:r w:rsidRPr="00B91E14">
              <w:rPr>
                <w:rFonts w:ascii="Times New Roman" w:hAnsi="Times New Roman" w:cs="Times New Roman"/>
                <w:sz w:val="28"/>
                <w:szCs w:val="28"/>
              </w:rPr>
              <w:t xml:space="preserve">3. Неравномерность социальной и профессиональной адаптации </w:t>
            </w:r>
            <w:r w:rsidRPr="00B91E14">
              <w:rPr>
                <w:rFonts w:ascii="Times New Roman" w:hAnsi="Times New Roman" w:cs="Times New Roman"/>
                <w:sz w:val="28"/>
                <w:szCs w:val="28"/>
              </w:rPr>
              <w:lastRenderedPageBreak/>
              <w:t>различных групп молодежи</w:t>
            </w:r>
          </w:p>
        </w:tc>
      </w:tr>
    </w:tbl>
    <w:p w:rsidR="00452847" w:rsidRPr="00B91E14" w:rsidRDefault="00452847">
      <w:pPr>
        <w:pStyle w:val="ConsPlusNormal"/>
        <w:jc w:val="both"/>
        <w:rPr>
          <w:rFonts w:ascii="Times New Roman" w:hAnsi="Times New Roman" w:cs="Times New Roman"/>
          <w:sz w:val="28"/>
          <w:szCs w:val="28"/>
        </w:rPr>
      </w:pPr>
    </w:p>
    <w:p w:rsidR="00452847" w:rsidRPr="00B91E14" w:rsidRDefault="00452847">
      <w:pPr>
        <w:pStyle w:val="ConsPlusTitle"/>
        <w:ind w:firstLine="540"/>
        <w:jc w:val="both"/>
        <w:outlineLvl w:val="1"/>
        <w:rPr>
          <w:rFonts w:ascii="Times New Roman" w:hAnsi="Times New Roman" w:cs="Times New Roman"/>
          <w:sz w:val="28"/>
          <w:szCs w:val="28"/>
        </w:rPr>
      </w:pPr>
      <w:r w:rsidRPr="00B91E14">
        <w:rPr>
          <w:rFonts w:ascii="Times New Roman" w:hAnsi="Times New Roman" w:cs="Times New Roman"/>
          <w:sz w:val="28"/>
          <w:szCs w:val="28"/>
        </w:rPr>
        <w:t>4. СТРАТЕГИЧЕСКОЕ ВИДЕНИЕ И МИССИЯ ГРЯЗИНСКОГО РАЙОНА</w:t>
      </w:r>
    </w:p>
    <w:p w:rsidR="00452847" w:rsidRPr="00ED1406" w:rsidRDefault="00452847">
      <w:pPr>
        <w:pStyle w:val="ConsPlusNormal"/>
        <w:jc w:val="both"/>
        <w:rPr>
          <w:rFonts w:ascii="Times New Roman" w:hAnsi="Times New Roman" w:cs="Times New Roman"/>
        </w:rPr>
      </w:pPr>
    </w:p>
    <w:p w:rsidR="00452847" w:rsidRPr="00DB7F34" w:rsidRDefault="00452847">
      <w:pPr>
        <w:pStyle w:val="ConsPlusTitle"/>
        <w:jc w:val="center"/>
        <w:outlineLvl w:val="2"/>
        <w:rPr>
          <w:rFonts w:ascii="Times New Roman" w:hAnsi="Times New Roman" w:cs="Times New Roman"/>
          <w:sz w:val="28"/>
          <w:szCs w:val="28"/>
        </w:rPr>
      </w:pPr>
      <w:r w:rsidRPr="00DB7F34">
        <w:rPr>
          <w:rFonts w:ascii="Times New Roman" w:hAnsi="Times New Roman" w:cs="Times New Roman"/>
          <w:sz w:val="28"/>
          <w:szCs w:val="28"/>
        </w:rPr>
        <w:t>4.1. Итоговый (SWOT) анализ</w:t>
      </w: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 xml:space="preserve">(в ред. </w:t>
      </w:r>
      <w:hyperlink r:id="rId32">
        <w:r w:rsidRPr="00DB7F34">
          <w:rPr>
            <w:rFonts w:ascii="Times New Roman" w:hAnsi="Times New Roman" w:cs="Times New Roman"/>
            <w:color w:val="0000FF"/>
            <w:sz w:val="28"/>
            <w:szCs w:val="28"/>
          </w:rPr>
          <w:t>решения</w:t>
        </w:r>
      </w:hyperlink>
      <w:r w:rsidRPr="00DB7F34">
        <w:rPr>
          <w:rFonts w:ascii="Times New Roman" w:hAnsi="Times New Roman" w:cs="Times New Roman"/>
          <w:sz w:val="28"/>
          <w:szCs w:val="28"/>
        </w:rPr>
        <w:t xml:space="preserve"> Совета депутатов Грязинского муниципального</w:t>
      </w: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района Липецкой обл. от 16.10.2018 N 224)</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 xml:space="preserve">Анализ сильных и слабых сторон по отраслям, приведенный в </w:t>
      </w:r>
      <w:hyperlink w:anchor="P186">
        <w:r w:rsidRPr="00DB7F34">
          <w:rPr>
            <w:rFonts w:ascii="Times New Roman" w:hAnsi="Times New Roman" w:cs="Times New Roman"/>
            <w:color w:val="0000FF"/>
            <w:sz w:val="28"/>
            <w:szCs w:val="28"/>
          </w:rPr>
          <w:t>разделе 3</w:t>
        </w:r>
      </w:hyperlink>
      <w:r w:rsidRPr="00DB7F34">
        <w:rPr>
          <w:rFonts w:ascii="Times New Roman" w:hAnsi="Times New Roman" w:cs="Times New Roman"/>
          <w:sz w:val="28"/>
          <w:szCs w:val="28"/>
        </w:rPr>
        <w:t xml:space="preserve"> настоящей Стратегии, позволяет сформулировать следующий итоговый стратегический анализ для развития района в целом.</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Итоговый стратегический (SWOT) анализ</w:t>
      </w: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социально-экономического развития Грязинского</w:t>
      </w: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муниципального района</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jc w:val="right"/>
        <w:rPr>
          <w:rFonts w:ascii="Times New Roman" w:hAnsi="Times New Roman" w:cs="Times New Roman"/>
          <w:sz w:val="28"/>
          <w:szCs w:val="28"/>
        </w:rPr>
      </w:pPr>
      <w:r w:rsidRPr="00DB7F34">
        <w:rPr>
          <w:rFonts w:ascii="Times New Roman" w:hAnsi="Times New Roman" w:cs="Times New Roman"/>
          <w:sz w:val="28"/>
          <w:szCs w:val="28"/>
        </w:rPr>
        <w:t>Таблица 4.1</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Сильные (S), слабые (W) стороны, возможности (О)</w:t>
      </w:r>
    </w:p>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и угрозы (Т)</w:t>
      </w:r>
    </w:p>
    <w:p w:rsidR="00452847" w:rsidRPr="00DB7F34" w:rsidRDefault="00452847">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52847" w:rsidRPr="00DB7F34">
        <w:tc>
          <w:tcPr>
            <w:tcW w:w="4535" w:type="dxa"/>
            <w:tcBorders>
              <w:top w:val="single" w:sz="4" w:space="0" w:color="auto"/>
              <w:bottom w:val="nil"/>
            </w:tcBorders>
          </w:tcPr>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Сильные стороны</w:t>
            </w:r>
          </w:p>
        </w:tc>
        <w:tc>
          <w:tcPr>
            <w:tcW w:w="4535" w:type="dxa"/>
            <w:tcBorders>
              <w:top w:val="single" w:sz="4" w:space="0" w:color="auto"/>
              <w:bottom w:val="nil"/>
            </w:tcBorders>
          </w:tcPr>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Слабые стороны</w:t>
            </w:r>
          </w:p>
        </w:tc>
      </w:tr>
      <w:tr w:rsidR="00452847" w:rsidRPr="00DB7F34">
        <w:tc>
          <w:tcPr>
            <w:tcW w:w="4535" w:type="dxa"/>
            <w:tcBorders>
              <w:top w:val="nil"/>
              <w:bottom w:val="single" w:sz="4" w:space="0" w:color="auto"/>
            </w:tcBorders>
          </w:tcPr>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1. Высокий уровень природно-ресурсного, трудового, инвестиционного, инфраструктурного и экономического потенциала.</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2. Выгодное географическое положение.</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3. Динамичное развитие ОЭЗ ППТ "Липецк".</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4. Высокий уровень промышленного потенциала.</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5. Благоприятный деловой и инвестиционный климат.</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6. Высокие темпы развития жилищного строительства.</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7. Развитая транспортная инфраструктура.</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 xml:space="preserve">8. Низкий уровень регистрируемой </w:t>
            </w:r>
            <w:r w:rsidRPr="00DB7F34">
              <w:rPr>
                <w:rFonts w:ascii="Times New Roman" w:hAnsi="Times New Roman" w:cs="Times New Roman"/>
                <w:sz w:val="28"/>
                <w:szCs w:val="28"/>
              </w:rPr>
              <w:lastRenderedPageBreak/>
              <w:t>безработицы, отсутствие напряженности на рынке труда</w:t>
            </w:r>
          </w:p>
        </w:tc>
        <w:tc>
          <w:tcPr>
            <w:tcW w:w="4535" w:type="dxa"/>
            <w:tcBorders>
              <w:top w:val="nil"/>
              <w:bottom w:val="single" w:sz="4" w:space="0" w:color="auto"/>
            </w:tcBorders>
          </w:tcPr>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lastRenderedPageBreak/>
              <w:t>1. Недостаточный рост объемов производства высокотехнологичной и наукоемкой продукции.</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2. Недостаточный рост производительности труда в промышленности, в т.ч. в машиностроении и производстве пищевых продуктов.</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3. Неравномерность в развитии экономического потенциала сельских территорий и обеспечивающей инфраструктуры.</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6. Недостаточный уровень заработной платы.</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7. Высокий уровень смертности населения.</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8. Высокая экологическая напряженность.</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lastRenderedPageBreak/>
              <w:t>9. Несоответствие текущего состояния дорожно-транспортной инфраструктуры растущим потребностям развития экономики района</w:t>
            </w:r>
          </w:p>
        </w:tc>
      </w:tr>
      <w:tr w:rsidR="00452847" w:rsidRPr="00DB7F34">
        <w:tc>
          <w:tcPr>
            <w:tcW w:w="4535" w:type="dxa"/>
            <w:tcBorders>
              <w:top w:val="single" w:sz="4" w:space="0" w:color="auto"/>
              <w:bottom w:val="nil"/>
            </w:tcBorders>
          </w:tcPr>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lastRenderedPageBreak/>
              <w:t>Возможности</w:t>
            </w:r>
          </w:p>
        </w:tc>
        <w:tc>
          <w:tcPr>
            <w:tcW w:w="4535" w:type="dxa"/>
            <w:tcBorders>
              <w:top w:val="single" w:sz="4" w:space="0" w:color="auto"/>
              <w:bottom w:val="nil"/>
            </w:tcBorders>
          </w:tcPr>
          <w:p w:rsidR="00452847" w:rsidRPr="00DB7F34" w:rsidRDefault="00452847">
            <w:pPr>
              <w:pStyle w:val="ConsPlusNormal"/>
              <w:jc w:val="center"/>
              <w:rPr>
                <w:rFonts w:ascii="Times New Roman" w:hAnsi="Times New Roman" w:cs="Times New Roman"/>
                <w:sz w:val="28"/>
                <w:szCs w:val="28"/>
              </w:rPr>
            </w:pPr>
            <w:r w:rsidRPr="00DB7F34">
              <w:rPr>
                <w:rFonts w:ascii="Times New Roman" w:hAnsi="Times New Roman" w:cs="Times New Roman"/>
                <w:sz w:val="28"/>
                <w:szCs w:val="28"/>
              </w:rPr>
              <w:t>Угрозы</w:t>
            </w:r>
          </w:p>
        </w:tc>
      </w:tr>
      <w:tr w:rsidR="00452847" w:rsidRPr="00DB7F34">
        <w:tc>
          <w:tcPr>
            <w:tcW w:w="4535" w:type="dxa"/>
            <w:tcBorders>
              <w:top w:val="nil"/>
              <w:bottom w:val="single" w:sz="4" w:space="0" w:color="auto"/>
            </w:tcBorders>
          </w:tcPr>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1. Повышение благосостояния и качества жизни населения путем повышения конкурентоспособности экономики.</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2. Развитие малого и среднего бизнеса, в том числе в промышленности и секторе услуг.</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3. Развитие малых аграрных форм хозяйствования, в т.ч. кооперативов и фермеров.</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4. Улучшение демографической ситуации, в т.ч. за счет увеличения продолжительности жизни населения, снижения уровня смертности, роста миграционной привлекательности</w:t>
            </w:r>
          </w:p>
        </w:tc>
        <w:tc>
          <w:tcPr>
            <w:tcW w:w="4535" w:type="dxa"/>
            <w:tcBorders>
              <w:top w:val="nil"/>
              <w:bottom w:val="single" w:sz="4" w:space="0" w:color="auto"/>
            </w:tcBorders>
          </w:tcPr>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1. Снижение численности населения трудоспособного возраста.</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2. Снижение качества потенциала трудовых ресурсов, дефицит квалифицированных кадров.</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3. Рост общей заболеваемости населения на фоне высокой экологической нагрузки.</w:t>
            </w:r>
          </w:p>
          <w:p w:rsidR="00452847" w:rsidRPr="00DB7F34" w:rsidRDefault="00452847">
            <w:pPr>
              <w:pStyle w:val="ConsPlusNormal"/>
              <w:rPr>
                <w:rFonts w:ascii="Times New Roman" w:hAnsi="Times New Roman" w:cs="Times New Roman"/>
                <w:sz w:val="28"/>
                <w:szCs w:val="28"/>
              </w:rPr>
            </w:pPr>
            <w:r w:rsidRPr="00DB7F34">
              <w:rPr>
                <w:rFonts w:ascii="Times New Roman" w:hAnsi="Times New Roman" w:cs="Times New Roman"/>
                <w:sz w:val="28"/>
                <w:szCs w:val="28"/>
              </w:rPr>
              <w:t>4. Экологические и техногенные катастрофы</w:t>
            </w:r>
          </w:p>
        </w:tc>
      </w:tr>
    </w:tbl>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Title"/>
        <w:ind w:firstLine="540"/>
        <w:jc w:val="both"/>
        <w:outlineLvl w:val="1"/>
        <w:rPr>
          <w:rFonts w:ascii="Times New Roman" w:hAnsi="Times New Roman" w:cs="Times New Roman"/>
          <w:sz w:val="28"/>
          <w:szCs w:val="28"/>
        </w:rPr>
      </w:pPr>
      <w:r w:rsidRPr="00DB7F34">
        <w:rPr>
          <w:rFonts w:ascii="Times New Roman" w:hAnsi="Times New Roman" w:cs="Times New Roman"/>
          <w:sz w:val="28"/>
          <w:szCs w:val="28"/>
        </w:rPr>
        <w:t>5. МИССИЯ И СТРАТЕГИЧЕСКИЕ ЦЕЛИ СОЦИАЛЬНО-ЭКОНОМИЧЕСКОГО РАЗВИТИЯ ГРЯЗИНСКОГО РАЙОНА</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Title"/>
        <w:ind w:firstLine="540"/>
        <w:jc w:val="both"/>
        <w:outlineLvl w:val="2"/>
        <w:rPr>
          <w:rFonts w:ascii="Times New Roman" w:hAnsi="Times New Roman" w:cs="Times New Roman"/>
          <w:sz w:val="28"/>
          <w:szCs w:val="28"/>
        </w:rPr>
      </w:pPr>
      <w:r w:rsidRPr="00DB7F34">
        <w:rPr>
          <w:rFonts w:ascii="Times New Roman" w:hAnsi="Times New Roman" w:cs="Times New Roman"/>
          <w:sz w:val="28"/>
          <w:szCs w:val="28"/>
        </w:rPr>
        <w:t>5.1. Принципы районной политики</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Принцип главенства интересов и мнения населения.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Реализация данного принципа направлена на соблюдение приоритетности интересов населения и учета его мнения в разработке и исполнении программ социально-экономического развития района, акцентирование внимания на тех отраслях, которые создадут наилучшие условия развития человеческих ресурсов, повышение качества жизни населения.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Принцип комплексного развития.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Данный принцип означает использование всех потенциальных ресурсов и возможностей для развития района. То есть для реализации данного принципа следует делать упор на развитие каждой отрасли и сферы в пределах имеющихся возможностей, а не сосредоточение внимания на одной из них.</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Принцип повышения роли административного координирования.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lastRenderedPageBreak/>
        <w:t>Реализация данного принципа должна быть направлена на консолидацию усилий участников процесса реализации Стратегии для решения стратегических задач и достижения стратегических целей при главенствующей роли органов муниципальной власти района как главного координирующего центра. Только достижение иерархичной и продуманной политики при принятии оперативных решений, направленных на решение конкретных задач, должно способствовать комплексному развитию всего района.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Принцип взаимодействия и ответственности.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Означает, что при реализации приоритетных направлений, целей и задач необходимо прикладывать комплекс взаимосвязанных мер, которые обозначены предыдущими принципами. Только посредством взаимодействия достигается целостность системы реализации Стратегии. При этом огромная роль должна отводиться повышению степени ответственности участников процесса воплощения Стратегии в жизнь за полученные результаты.</w:t>
      </w:r>
    </w:p>
    <w:p w:rsidR="00452847" w:rsidRPr="00ED1406" w:rsidRDefault="00452847">
      <w:pPr>
        <w:pStyle w:val="ConsPlusNormal"/>
        <w:jc w:val="both"/>
        <w:rPr>
          <w:rFonts w:ascii="Times New Roman" w:hAnsi="Times New Roman" w:cs="Times New Roman"/>
        </w:rPr>
      </w:pPr>
    </w:p>
    <w:p w:rsidR="00452847" w:rsidRPr="00DB7F34" w:rsidRDefault="00452847">
      <w:pPr>
        <w:pStyle w:val="ConsPlusTitle"/>
        <w:ind w:firstLine="540"/>
        <w:jc w:val="both"/>
        <w:outlineLvl w:val="2"/>
        <w:rPr>
          <w:rFonts w:ascii="Times New Roman" w:hAnsi="Times New Roman" w:cs="Times New Roman"/>
          <w:sz w:val="28"/>
          <w:szCs w:val="28"/>
        </w:rPr>
      </w:pPr>
      <w:r w:rsidRPr="00DB7F34">
        <w:rPr>
          <w:rFonts w:ascii="Times New Roman" w:hAnsi="Times New Roman" w:cs="Times New Roman"/>
          <w:sz w:val="28"/>
          <w:szCs w:val="28"/>
        </w:rPr>
        <w:t>5.2. Миссия Грязинского района</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Основной идеей Стратегии является определение миссии района - его предназначения, характеризующегося целями и задачами, для реализации которых он осуществляет свою деятельность. Именно миссия дает возможность понять основные задачи и цели, на которые должен ориентироваться район в своем перспективном развитии.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Миссия Грязинского района: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Грязинский район - крупнейший промышленный центр Липецкой области, обеспечивающий высокие объемы выпуска качественной и востребованной продукции, с высокорентабельным сельскохозяйственным производством и социально ориентированной экономикой района.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Определение миссии Грязинского района стало основой формирования главных стратегических целей: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повышение благосостояния и качества жизни населения района;</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 ред. </w:t>
      </w:r>
      <w:hyperlink r:id="rId33">
        <w:r w:rsidRPr="00DB7F34">
          <w:rPr>
            <w:rFonts w:ascii="Times New Roman" w:hAnsi="Times New Roman" w:cs="Times New Roman"/>
            <w:color w:val="0000FF"/>
            <w:sz w:val="28"/>
            <w:szCs w:val="28"/>
          </w:rPr>
          <w:t>решения</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развитие промышленности и сельского хозяйства;</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 ред. </w:t>
      </w:r>
      <w:hyperlink r:id="rId34">
        <w:r w:rsidRPr="00DB7F34">
          <w:rPr>
            <w:rFonts w:ascii="Times New Roman" w:hAnsi="Times New Roman" w:cs="Times New Roman"/>
            <w:color w:val="0000FF"/>
            <w:sz w:val="28"/>
            <w:szCs w:val="28"/>
          </w:rPr>
          <w:t>решения</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обеспечение роста инвестиционной привлекательности района, притока трудовых ресурсов.</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 ред. </w:t>
      </w:r>
      <w:hyperlink r:id="rId35">
        <w:r w:rsidRPr="00DB7F34">
          <w:rPr>
            <w:rFonts w:ascii="Times New Roman" w:hAnsi="Times New Roman" w:cs="Times New Roman"/>
            <w:color w:val="0000FF"/>
            <w:sz w:val="28"/>
            <w:szCs w:val="28"/>
          </w:rPr>
          <w:t>решения</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xml:space="preserve">Для реализации миссии и стратегических целей Грязинского района </w:t>
      </w:r>
      <w:r w:rsidRPr="00DB7F34">
        <w:rPr>
          <w:rFonts w:ascii="Times New Roman" w:hAnsi="Times New Roman" w:cs="Times New Roman"/>
          <w:sz w:val="28"/>
          <w:szCs w:val="28"/>
        </w:rPr>
        <w:lastRenderedPageBreak/>
        <w:t>необходимо эффективно и рационально использовать имеющийся потенциал и ресурсы, формировать целенаправленные меры воздействия на отдельные отрасли посредством применения новейших технологий, использовать передовой опыт ведения хозяйств, проводить грамотную миграционную и демографическую политику, развивать социальные отрасли.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Грязинский район позиционируется как район:</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обладающий огромным производственным потенциалом;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имеющий ОЭЗ на своей территории;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характеризующийся исторически сложившимся сельскохозяйственным производством;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один из самых благоустроенных районов в области.</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Title"/>
        <w:ind w:firstLine="540"/>
        <w:jc w:val="both"/>
        <w:outlineLvl w:val="2"/>
        <w:rPr>
          <w:rFonts w:ascii="Times New Roman" w:hAnsi="Times New Roman" w:cs="Times New Roman"/>
          <w:sz w:val="28"/>
          <w:szCs w:val="28"/>
        </w:rPr>
      </w:pPr>
      <w:r w:rsidRPr="00DB7F34">
        <w:rPr>
          <w:rFonts w:ascii="Times New Roman" w:hAnsi="Times New Roman" w:cs="Times New Roman"/>
          <w:sz w:val="28"/>
          <w:szCs w:val="28"/>
        </w:rPr>
        <w:t>5.3. Стратегические цели развития района на период до 202</w:t>
      </w:r>
      <w:r w:rsidR="007814A7" w:rsidRPr="00DB7F34">
        <w:rPr>
          <w:rFonts w:ascii="Times New Roman" w:hAnsi="Times New Roman" w:cs="Times New Roman"/>
          <w:sz w:val="28"/>
          <w:szCs w:val="28"/>
        </w:rPr>
        <w:t>6</w:t>
      </w:r>
      <w:r w:rsidRPr="00DB7F34">
        <w:rPr>
          <w:rFonts w:ascii="Times New Roman" w:hAnsi="Times New Roman" w:cs="Times New Roman"/>
          <w:sz w:val="28"/>
          <w:szCs w:val="28"/>
        </w:rPr>
        <w:t xml:space="preserve"> года</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 ред. </w:t>
      </w:r>
      <w:hyperlink r:id="rId36">
        <w:r w:rsidRPr="00DB7F34">
          <w:rPr>
            <w:rFonts w:ascii="Times New Roman" w:hAnsi="Times New Roman" w:cs="Times New Roman"/>
            <w:color w:val="0000FF"/>
            <w:sz w:val="28"/>
            <w:szCs w:val="28"/>
          </w:rPr>
          <w:t>решения</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w:t>
      </w:r>
      <w:r w:rsidR="007814A7" w:rsidRPr="00DB7F34">
        <w:rPr>
          <w:rFonts w:ascii="Times New Roman" w:hAnsi="Times New Roman" w:cs="Times New Roman"/>
          <w:color w:val="0000FF"/>
          <w:sz w:val="28"/>
          <w:szCs w:val="28"/>
        </w:rPr>
        <w:t>от 23.08.2022 № 121</w:t>
      </w:r>
      <w:r w:rsidRPr="00DB7F34">
        <w:rPr>
          <w:rFonts w:ascii="Times New Roman" w:hAnsi="Times New Roman" w:cs="Times New Roman"/>
          <w:sz w:val="28"/>
          <w:szCs w:val="28"/>
        </w:rPr>
        <w:t>)</w:t>
      </w: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 xml:space="preserve">(в ред. </w:t>
      </w:r>
      <w:hyperlink r:id="rId37">
        <w:r w:rsidRPr="00DB7F34">
          <w:rPr>
            <w:rFonts w:ascii="Times New Roman" w:hAnsi="Times New Roman" w:cs="Times New Roman"/>
            <w:color w:val="0000FF"/>
            <w:sz w:val="28"/>
            <w:szCs w:val="28"/>
          </w:rPr>
          <w:t>решения</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27.04.2011 N 291)</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Стратегическими целями развития района являются:</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5.3.1. Цель 1. Создание условий для повышения качества жизни населения</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Достижение стратегических целей будет способствовать решению следующих задач:</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Снижение уровня бедности населения, обеспечение устойчивого роста денежных доходов населения.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Решение задачи будет обеспечиваться посредством реализации следующих мероприятий: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созданию квалифицированных, высокооплачиваемых рабочих мест в результате реализации инвестиционных проектов;</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развитию малого и среднего бизнеса;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повышение товарности ЛПХ за счет содействия развитию заготовительной деятельности и перерабатывающих производств;</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повышение социальной ответственности бизнеса, в т.ч. работа по легализации заработной платы;</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реализация мероприятий по социальной защите населения.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Обеспечение улучшения здоровья населения.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lastRenderedPageBreak/>
        <w:t>Необходимо уделить внимание следующим направлениям: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совершенствование некоторых видов специализированной помощи;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и внедрение системы мониторинга травматизма;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укрепление материальной базы учреждений здравоохранения;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развитие системы мониторинга социально опасных заболеваний;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организация и проведение периодических профилактических осмотров в группах риска; повышение укомплектованности кадрами лечебно-профилактических учреждений района;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подготовка и переподготовка кадров по специальностям, востребованным в современной медицине.</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Повышение доступности качественного образования: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обеспечение гарантий качества образовательных услуг и их соответствия требованиям образовательного стандарта;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внедрение новых информационных технологий и компьютеризации ОУ;</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обеспечение соответствия учебной базы ОУ современным требованиям предоставления качественной образовательной услуги и нормам СанПиН;</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обеспечение доступности дошкольного образования.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Развитие инфраструктуры, обеспечение населения услугами и комфортным жильем.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Для обеспечения населения жилищно-коммунальными услугами необходимого качества и количества необходима реализация мероприятий по следующим направлениям: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проведение инвентаризации жилищного фонда;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углубленный анализ технического состояния жилого фонда;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расширение энергетической инфраструктуры за счет инвестиций и средств областного бюджета (по программе);</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проектирование и строительство сетей электро-, водо-, газоснабжения улиц индивидуальной застройки, территорий сельских поселений;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систематический ремонт и замена инженерных коммуникаций;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решение вопроса водоснабжения качественной питьевой водой;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организация работ по обустройству ТБО во всех сельских поселениях;</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xml:space="preserve">- улучшение транспортного обслуживания населения, оптимизация </w:t>
      </w:r>
      <w:r w:rsidRPr="00DB7F34">
        <w:rPr>
          <w:rFonts w:ascii="Times New Roman" w:hAnsi="Times New Roman" w:cs="Times New Roman"/>
          <w:sz w:val="28"/>
          <w:szCs w:val="28"/>
        </w:rPr>
        <w:lastRenderedPageBreak/>
        <w:t>маршрутной сети;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укрепление материально-технической базы культуры, физкультуры и спорта;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условий для обеспечения доступности торговых и бытовых услуг населению, рациональное размещение стационарной сети.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Обеспечение экологической безопасности человека: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разработка и реализация мероприятий, направленных на снижение рисков и смягчение последствий чрезвычайных ситуаций природного и техногенного характера;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в реализации мероприятий по снижению загрязняющих выбросов в окружающую среду;</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повышению экологической безопасности деятельности предприятий.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Улучшение социально-политического здоровья общества: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занятости населения и социальной поддержке безработных граждан;</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проведение активной молодежной политики;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профилактика безнадзорности, преступности, наркомании, алкоголизма и других асоциальных явлений;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реализация комплекса мер, направленных на снижение уровня преступности;</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формирование гражданской ответственности населения.</w:t>
      </w:r>
    </w:p>
    <w:p w:rsidR="00452847" w:rsidRPr="00ED1406" w:rsidRDefault="00452847">
      <w:pPr>
        <w:pStyle w:val="ConsPlusNormal"/>
        <w:jc w:val="both"/>
        <w:rPr>
          <w:rFonts w:ascii="Times New Roman" w:hAnsi="Times New Roman" w:cs="Times New Roman"/>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5.3.2. Цель 2. Улучшение демографической ситуации</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Обеспечение проведения эффективной демографической политики, включая стимулирование рождаемости, обеспечение эффективного миграционного баланса: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социальная поддержка семьи: увеличение размера ежемесячного пособия на детей, на рождение ребенка, многодетным семьям и молодой семье;</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условий для обеспечения молодых семей жильем;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условий для переселения в район граждан репродуктивного возраста из числа соотечественников, проживающих за рубежом;</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повышение миграционного прироста до величины, равной естественной убыли населения, при доминировании среди прибывающих желательных для района мигрантов.</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5.3.3. Цель 3. Создание сбалансированной и конкурентоспособной экономики, повышение уровня конкурентоспособности предприятий и организаций</w:t>
      </w:r>
    </w:p>
    <w:p w:rsidR="00452847" w:rsidRPr="00DB7F34" w:rsidRDefault="00452847">
      <w:pPr>
        <w:pStyle w:val="ConsPlusNormal"/>
        <w:jc w:val="both"/>
        <w:rPr>
          <w:rFonts w:ascii="Times New Roman" w:hAnsi="Times New Roman" w:cs="Times New Roman"/>
          <w:sz w:val="28"/>
          <w:szCs w:val="28"/>
        </w:rPr>
      </w:pPr>
    </w:p>
    <w:p w:rsidR="00452847" w:rsidRPr="00DB7F34" w:rsidRDefault="00452847">
      <w:pPr>
        <w:pStyle w:val="ConsPlusNormal"/>
        <w:ind w:firstLine="540"/>
        <w:jc w:val="both"/>
        <w:rPr>
          <w:rFonts w:ascii="Times New Roman" w:hAnsi="Times New Roman" w:cs="Times New Roman"/>
          <w:sz w:val="28"/>
          <w:szCs w:val="28"/>
        </w:rPr>
      </w:pPr>
      <w:r w:rsidRPr="00DB7F34">
        <w:rPr>
          <w:rFonts w:ascii="Times New Roman" w:hAnsi="Times New Roman" w:cs="Times New Roman"/>
          <w:sz w:val="28"/>
          <w:szCs w:val="28"/>
        </w:rPr>
        <w:t>Повышение уровня конкурентоспособности предприятий: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инновационному развитию предприятий;</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организация эффективного использования земельных ресурсов;</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привлечение хозяйствующих субъектов к участию в региональных и областных программах в сфере промышленного производства и сельского хозяйства;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содействие привлечению инвестиций в сферу промышленного производства через использование информационных, телекоммуникационных и иных ресурсов;</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новых предприятий через ориентацию субъектов малого предпринимательства на производственную деятельность;</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новых и модернизация действующих производств;</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(введено </w:t>
      </w:r>
      <w:hyperlink r:id="rId38">
        <w:r w:rsidRPr="00DB7F34">
          <w:rPr>
            <w:rFonts w:ascii="Times New Roman" w:hAnsi="Times New Roman" w:cs="Times New Roman"/>
            <w:color w:val="0000FF"/>
            <w:sz w:val="28"/>
            <w:szCs w:val="28"/>
          </w:rPr>
          <w:t>решением</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19.12.2017 N 171)</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снижение трудоемкости за счет внедрения новых технологий в производство;</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(введено </w:t>
      </w:r>
      <w:hyperlink r:id="rId39">
        <w:r w:rsidRPr="00DB7F34">
          <w:rPr>
            <w:rFonts w:ascii="Times New Roman" w:hAnsi="Times New Roman" w:cs="Times New Roman"/>
            <w:color w:val="0000FF"/>
            <w:sz w:val="28"/>
            <w:szCs w:val="28"/>
          </w:rPr>
          <w:t>решением</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19.12.2017 N 171)</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повышение квалификации персонала;</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(введено </w:t>
      </w:r>
      <w:hyperlink r:id="rId40">
        <w:r w:rsidRPr="00DB7F34">
          <w:rPr>
            <w:rFonts w:ascii="Times New Roman" w:hAnsi="Times New Roman" w:cs="Times New Roman"/>
            <w:color w:val="0000FF"/>
            <w:sz w:val="28"/>
            <w:szCs w:val="28"/>
          </w:rPr>
          <w:t>решением</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19.12.2017 N 171)</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w:t>
      </w:r>
      <w:hyperlink w:anchor="P2643">
        <w:r w:rsidRPr="00DB7F34">
          <w:rPr>
            <w:rFonts w:ascii="Times New Roman" w:hAnsi="Times New Roman" w:cs="Times New Roman"/>
            <w:color w:val="0000FF"/>
            <w:sz w:val="28"/>
            <w:szCs w:val="28"/>
          </w:rPr>
          <w:t>Приложение</w:t>
        </w:r>
      </w:hyperlink>
      <w:r w:rsidRPr="00DB7F34">
        <w:rPr>
          <w:rFonts w:ascii="Times New Roman" w:hAnsi="Times New Roman" w:cs="Times New Roman"/>
          <w:sz w:val="28"/>
          <w:szCs w:val="28"/>
        </w:rPr>
        <w:t xml:space="preserve"> "Перечень инвестиционных проектов).</w:t>
      </w:r>
    </w:p>
    <w:p w:rsidR="00452847" w:rsidRPr="00DB7F34" w:rsidRDefault="00452847">
      <w:pPr>
        <w:pStyle w:val="ConsPlusNormal"/>
        <w:jc w:val="both"/>
        <w:rPr>
          <w:rFonts w:ascii="Times New Roman" w:hAnsi="Times New Roman" w:cs="Times New Roman"/>
          <w:sz w:val="28"/>
          <w:szCs w:val="28"/>
        </w:rPr>
      </w:pPr>
      <w:r w:rsidRPr="00DB7F34">
        <w:rPr>
          <w:rFonts w:ascii="Times New Roman" w:hAnsi="Times New Roman" w:cs="Times New Roman"/>
          <w:sz w:val="28"/>
          <w:szCs w:val="28"/>
        </w:rPr>
        <w:t xml:space="preserve">(введено </w:t>
      </w:r>
      <w:hyperlink r:id="rId41">
        <w:r w:rsidRPr="00DB7F34">
          <w:rPr>
            <w:rFonts w:ascii="Times New Roman" w:hAnsi="Times New Roman" w:cs="Times New Roman"/>
            <w:color w:val="0000FF"/>
            <w:sz w:val="28"/>
            <w:szCs w:val="28"/>
          </w:rPr>
          <w:t>решением</w:t>
        </w:r>
      </w:hyperlink>
      <w:r w:rsidRPr="00DB7F34">
        <w:rPr>
          <w:rFonts w:ascii="Times New Roman" w:hAnsi="Times New Roman" w:cs="Times New Roman"/>
          <w:sz w:val="28"/>
          <w:szCs w:val="28"/>
        </w:rPr>
        <w:t xml:space="preserve"> Совета депутатов Грязинского муниципального района Липецкой обл. от 19.12.2017 N 171)</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Увеличение объемов жилищного строительства:</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строительство жилья на центральных улицах поселка для переселения граждан из ветхого и аварийного жилья, обеспечение жильем нуждающихся граждан;</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выделение участков под жилищное строительство;</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создание условий для обеспечения земельных участков коммунальной инфраструктурой, содействие развитию ипотечного кредитования;</w:t>
      </w:r>
    </w:p>
    <w:p w:rsidR="00452847" w:rsidRPr="00DB7F34" w:rsidRDefault="00452847">
      <w:pPr>
        <w:pStyle w:val="ConsPlusNormal"/>
        <w:spacing w:before="200"/>
        <w:ind w:firstLine="540"/>
        <w:jc w:val="both"/>
        <w:rPr>
          <w:rFonts w:ascii="Times New Roman" w:hAnsi="Times New Roman" w:cs="Times New Roman"/>
          <w:sz w:val="28"/>
          <w:szCs w:val="28"/>
        </w:rPr>
      </w:pPr>
      <w:r w:rsidRPr="00DB7F34">
        <w:rPr>
          <w:rFonts w:ascii="Times New Roman" w:hAnsi="Times New Roman" w:cs="Times New Roman"/>
          <w:sz w:val="28"/>
          <w:szCs w:val="28"/>
        </w:rPr>
        <w:t>- привлечение населения к участию в областных жилищных программах.</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lastRenderedPageBreak/>
        <w:t>Развитие дорожной сети и транспортного обслуживания:</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создание благоприятных условий для развития малого и среднего предпринимательства;</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развитие транспортной системы обслуживания населения;</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строительство дорог;</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ремонт дорог;</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обустройство дорог остановочными павильонами.</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Развитие малого и среднего предпринимательства:</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ориентация субъектов малого предпринимательства на новые социально значимые для района виды деятельности (общественное питание, услуги, производство, заготовительную деятельность);</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информирование субъектов малого и среднего предпринимательства о мерах оказываемой поддержки, привлечение их к участию в реализации мероприятий действующих областных и муниципальных программ;</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оказание имущественной и консультационной поддержки субъектам малого и среднего бизнеса, особенно на начальном этапе деятельности;</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привлечение субъектов малого и среднего предпринимательства к участию в муниципальном и государственном заказе.</w:t>
      </w:r>
    </w:p>
    <w:p w:rsidR="00452847" w:rsidRPr="00951149" w:rsidRDefault="00452847">
      <w:pPr>
        <w:pStyle w:val="ConsPlusNormal"/>
        <w:jc w:val="both"/>
        <w:rPr>
          <w:rFonts w:ascii="Times New Roman" w:hAnsi="Times New Roman" w:cs="Times New Roman"/>
          <w:sz w:val="28"/>
          <w:szCs w:val="28"/>
        </w:rPr>
      </w:pPr>
    </w:p>
    <w:p w:rsidR="00452847" w:rsidRPr="00951149" w:rsidRDefault="00452847">
      <w:pPr>
        <w:pStyle w:val="ConsPlusNormal"/>
        <w:ind w:firstLine="540"/>
        <w:jc w:val="both"/>
        <w:rPr>
          <w:rFonts w:ascii="Times New Roman" w:hAnsi="Times New Roman" w:cs="Times New Roman"/>
          <w:sz w:val="28"/>
          <w:szCs w:val="28"/>
        </w:rPr>
      </w:pPr>
      <w:r w:rsidRPr="00951149">
        <w:rPr>
          <w:rFonts w:ascii="Times New Roman" w:hAnsi="Times New Roman" w:cs="Times New Roman"/>
          <w:sz w:val="28"/>
          <w:szCs w:val="28"/>
        </w:rPr>
        <w:t>5.3.4. Цель 4. Улучшение качества муниципального управления, повышение его эффективности</w:t>
      </w:r>
    </w:p>
    <w:p w:rsidR="00452847" w:rsidRPr="00951149" w:rsidRDefault="00452847">
      <w:pPr>
        <w:pStyle w:val="ConsPlusNormal"/>
        <w:jc w:val="both"/>
        <w:rPr>
          <w:rFonts w:ascii="Times New Roman" w:hAnsi="Times New Roman" w:cs="Times New Roman"/>
          <w:sz w:val="28"/>
          <w:szCs w:val="28"/>
        </w:rPr>
      </w:pPr>
    </w:p>
    <w:p w:rsidR="00452847" w:rsidRPr="00951149" w:rsidRDefault="00452847">
      <w:pPr>
        <w:pStyle w:val="ConsPlusNormal"/>
        <w:ind w:firstLine="540"/>
        <w:jc w:val="both"/>
        <w:rPr>
          <w:rFonts w:ascii="Times New Roman" w:hAnsi="Times New Roman" w:cs="Times New Roman"/>
          <w:sz w:val="28"/>
          <w:szCs w:val="28"/>
        </w:rPr>
      </w:pPr>
      <w:r w:rsidRPr="00951149">
        <w:rPr>
          <w:rFonts w:ascii="Times New Roman" w:hAnsi="Times New Roman" w:cs="Times New Roman"/>
          <w:sz w:val="28"/>
          <w:szCs w:val="28"/>
        </w:rPr>
        <w:t>Создание и внедрение системы эффективного управления в муниципальном районе:</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обеспечение роста доходной части бюджета;</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повышение эффективности использования муниципального имущества и земельного фонда;</w:t>
      </w:r>
    </w:p>
    <w:p w:rsidR="00452847" w:rsidRPr="00951149" w:rsidRDefault="00452847">
      <w:pPr>
        <w:pStyle w:val="ConsPlusNormal"/>
        <w:spacing w:before="200"/>
        <w:ind w:firstLine="540"/>
        <w:jc w:val="both"/>
        <w:rPr>
          <w:rFonts w:ascii="Times New Roman" w:hAnsi="Times New Roman" w:cs="Times New Roman"/>
          <w:sz w:val="28"/>
          <w:szCs w:val="28"/>
        </w:rPr>
      </w:pPr>
      <w:r w:rsidRPr="00951149">
        <w:rPr>
          <w:rFonts w:ascii="Times New Roman" w:hAnsi="Times New Roman" w:cs="Times New Roman"/>
          <w:sz w:val="28"/>
          <w:szCs w:val="28"/>
        </w:rPr>
        <w:t>- содействие в развитии кадастрового учета земель, осуществление мероприятий по оформлению собственниками прав собственности на землю.</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Внедрение программно-целевого бюджетирования:</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развитие производства за счет государственной, региональной и муниципальной поддержки (национальные проекты, областные и муниципальные программы);</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внедрение информационно-коммуникационных технологий в деятельность органов местного самоуправления;</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xml:space="preserve">- усовершенствование методов разработки муниципальных целевых </w:t>
      </w:r>
      <w:r w:rsidRPr="00EF1540">
        <w:rPr>
          <w:rFonts w:ascii="Times New Roman" w:hAnsi="Times New Roman" w:cs="Times New Roman"/>
          <w:sz w:val="28"/>
          <w:szCs w:val="28"/>
        </w:rPr>
        <w:lastRenderedPageBreak/>
        <w:t>программ;</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формирование муниципальных заданий на оказание услуг, обеспечивающих высокую бюджетную эффективность.</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Повышение результативности стратегического планирования, выравнивание социально-экономического развития:</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разработка мероприятий по реализации стратегического плана развития района;</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совершенствование системы мониторинга стратегического плана, муниципальных целевых программ.</w:t>
      </w:r>
    </w:p>
    <w:p w:rsidR="00452847" w:rsidRPr="00EF1540" w:rsidRDefault="00452847">
      <w:pPr>
        <w:pStyle w:val="ConsPlusNormal"/>
        <w:jc w:val="both"/>
        <w:rPr>
          <w:rFonts w:ascii="Times New Roman" w:hAnsi="Times New Roman" w:cs="Times New Roman"/>
          <w:sz w:val="28"/>
          <w:szCs w:val="28"/>
        </w:rPr>
      </w:pP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t>Обеспечение сбалансированного пространственного развития муниципального образования</w:t>
      </w: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t xml:space="preserve">(введено </w:t>
      </w:r>
      <w:hyperlink r:id="rId42">
        <w:r w:rsidRPr="00EF1540">
          <w:rPr>
            <w:rFonts w:ascii="Times New Roman" w:hAnsi="Times New Roman" w:cs="Times New Roman"/>
            <w:color w:val="0000FF"/>
            <w:sz w:val="28"/>
            <w:szCs w:val="28"/>
          </w:rPr>
          <w:t>решением</w:t>
        </w:r>
      </w:hyperlink>
      <w:r w:rsidRPr="00EF1540">
        <w:rPr>
          <w:rFonts w:ascii="Times New Roman" w:hAnsi="Times New Roman" w:cs="Times New Roman"/>
          <w:sz w:val="28"/>
          <w:szCs w:val="28"/>
        </w:rPr>
        <w:t xml:space="preserve"> Совета депутатов Грязинского муниципального района Липецкой обл. от 19.12.2017 N 171)</w:t>
      </w:r>
    </w:p>
    <w:p w:rsidR="00452847" w:rsidRPr="00EF1540" w:rsidRDefault="00452847">
      <w:pPr>
        <w:pStyle w:val="ConsPlusNormal"/>
        <w:ind w:firstLine="540"/>
        <w:jc w:val="both"/>
        <w:rPr>
          <w:rFonts w:ascii="Times New Roman" w:hAnsi="Times New Roman" w:cs="Times New Roman"/>
          <w:sz w:val="28"/>
          <w:szCs w:val="28"/>
        </w:rPr>
      </w:pP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t>Грязинский муниципальный район расположен в восточной части Липецкой области и граничит с Тамбовской областью, Добринским, Усманским, Липецким, Добровским районами.</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На территории района расположен 61 населенный пункт, 16 сельских поселений, 1 городское поселение г. Грязи.</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Административным центром района является город Грязи, который расположен в 30 км юго-восточнее Липецка, на берегу реки Матыра.</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Площадь района на 01.01.2017 составляет 1349,77 км</w:t>
      </w:r>
      <w:r w:rsidRPr="00EF1540">
        <w:rPr>
          <w:rFonts w:ascii="Times New Roman" w:hAnsi="Times New Roman" w:cs="Times New Roman"/>
          <w:sz w:val="28"/>
          <w:szCs w:val="28"/>
          <w:vertAlign w:val="superscript"/>
        </w:rPr>
        <w:t>2</w:t>
      </w:r>
      <w:r w:rsidRPr="00EF1540">
        <w:rPr>
          <w:rFonts w:ascii="Times New Roman" w:hAnsi="Times New Roman" w:cs="Times New Roman"/>
          <w:sz w:val="28"/>
          <w:szCs w:val="28"/>
        </w:rPr>
        <w:t>, численность населения - 79571 чел. Наиболее крупные сельские поселения: Казинский (3126 чел.), Б. Самовецкий (3055 чел.), Плехановский (3132 чел.), Фащевский (2700 чел.), Ярлуковский (2682 чел.) сельские Советы.</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Средняя плотность населения Грязинского муниципального района на 01.01.2017 - 59 чел./км</w:t>
      </w:r>
      <w:r w:rsidRPr="00EF1540">
        <w:rPr>
          <w:rFonts w:ascii="Times New Roman" w:hAnsi="Times New Roman" w:cs="Times New Roman"/>
          <w:sz w:val="28"/>
          <w:szCs w:val="28"/>
          <w:vertAlign w:val="superscript"/>
        </w:rPr>
        <w:t>2</w:t>
      </w:r>
      <w:r w:rsidRPr="00EF1540">
        <w:rPr>
          <w:rFonts w:ascii="Times New Roman" w:hAnsi="Times New Roman" w:cs="Times New Roman"/>
          <w:sz w:val="28"/>
          <w:szCs w:val="28"/>
        </w:rPr>
        <w:t>.</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По плотности населения сельские поселения можно разделить на три категории:</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до 20 чел./км</w:t>
      </w:r>
      <w:r w:rsidRPr="00EF1540">
        <w:rPr>
          <w:rFonts w:ascii="Times New Roman" w:hAnsi="Times New Roman" w:cs="Times New Roman"/>
          <w:sz w:val="28"/>
          <w:szCs w:val="28"/>
          <w:vertAlign w:val="superscript"/>
        </w:rPr>
        <w:t>2</w:t>
      </w:r>
      <w:r w:rsidRPr="00EF1540">
        <w:rPr>
          <w:rFonts w:ascii="Times New Roman" w:hAnsi="Times New Roman" w:cs="Times New Roman"/>
          <w:sz w:val="28"/>
          <w:szCs w:val="28"/>
        </w:rPr>
        <w:t>;</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от 20 до 40 чел./км</w:t>
      </w:r>
      <w:r w:rsidRPr="00EF1540">
        <w:rPr>
          <w:rFonts w:ascii="Times New Roman" w:hAnsi="Times New Roman" w:cs="Times New Roman"/>
          <w:sz w:val="28"/>
          <w:szCs w:val="28"/>
          <w:vertAlign w:val="superscript"/>
        </w:rPr>
        <w:t>2</w:t>
      </w:r>
      <w:r w:rsidRPr="00EF1540">
        <w:rPr>
          <w:rFonts w:ascii="Times New Roman" w:hAnsi="Times New Roman" w:cs="Times New Roman"/>
          <w:sz w:val="28"/>
          <w:szCs w:val="28"/>
        </w:rPr>
        <w:t>;</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свыше 40 чел./км</w:t>
      </w:r>
      <w:r w:rsidRPr="00EF1540">
        <w:rPr>
          <w:rFonts w:ascii="Times New Roman" w:hAnsi="Times New Roman" w:cs="Times New Roman"/>
          <w:sz w:val="28"/>
          <w:szCs w:val="28"/>
          <w:vertAlign w:val="superscript"/>
        </w:rPr>
        <w:t>2</w:t>
      </w:r>
      <w:r w:rsidRPr="00EF1540">
        <w:rPr>
          <w:rFonts w:ascii="Times New Roman" w:hAnsi="Times New Roman" w:cs="Times New Roman"/>
          <w:sz w:val="28"/>
          <w:szCs w:val="28"/>
        </w:rPr>
        <w:t>.</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Городское поселение г. Грязи - 1197 чел./км</w:t>
      </w:r>
      <w:r w:rsidRPr="00EF1540">
        <w:rPr>
          <w:rFonts w:ascii="Times New Roman" w:hAnsi="Times New Roman" w:cs="Times New Roman"/>
          <w:sz w:val="28"/>
          <w:szCs w:val="28"/>
          <w:vertAlign w:val="superscript"/>
        </w:rPr>
        <w:t>2</w:t>
      </w:r>
    </w:p>
    <w:p w:rsidR="00452847" w:rsidRPr="00EF1540" w:rsidRDefault="00452847">
      <w:pPr>
        <w:pStyle w:val="ConsPlusNormal"/>
        <w:jc w:val="both"/>
        <w:rPr>
          <w:rFonts w:ascii="Times New Roman" w:hAnsi="Times New Roman" w:cs="Times New Roman"/>
          <w:sz w:val="28"/>
          <w:szCs w:val="28"/>
        </w:rPr>
      </w:pPr>
    </w:p>
    <w:p w:rsidR="00EF1540" w:rsidRDefault="00EF1540">
      <w:pPr>
        <w:pStyle w:val="ConsPlusNormal"/>
        <w:ind w:firstLine="540"/>
        <w:jc w:val="both"/>
        <w:rPr>
          <w:rFonts w:ascii="Times New Roman" w:hAnsi="Times New Roman" w:cs="Times New Roman"/>
          <w:sz w:val="28"/>
          <w:szCs w:val="28"/>
        </w:rPr>
      </w:pPr>
    </w:p>
    <w:p w:rsidR="00EF1540" w:rsidRDefault="00EF1540">
      <w:pPr>
        <w:pStyle w:val="ConsPlusNormal"/>
        <w:ind w:firstLine="540"/>
        <w:jc w:val="both"/>
        <w:rPr>
          <w:rFonts w:ascii="Times New Roman" w:hAnsi="Times New Roman" w:cs="Times New Roman"/>
          <w:sz w:val="28"/>
          <w:szCs w:val="28"/>
        </w:rPr>
      </w:pPr>
    </w:p>
    <w:p w:rsidR="00EF1540" w:rsidRDefault="00EF1540">
      <w:pPr>
        <w:pStyle w:val="ConsPlusNormal"/>
        <w:ind w:firstLine="540"/>
        <w:jc w:val="both"/>
        <w:rPr>
          <w:rFonts w:ascii="Times New Roman" w:hAnsi="Times New Roman" w:cs="Times New Roman"/>
          <w:sz w:val="28"/>
          <w:szCs w:val="28"/>
        </w:rPr>
      </w:pP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lastRenderedPageBreak/>
        <w:t>Карта N 1</w:t>
      </w:r>
    </w:p>
    <w:p w:rsidR="00452847" w:rsidRPr="00EF1540" w:rsidRDefault="00452847">
      <w:pPr>
        <w:pStyle w:val="ConsPlusNormal"/>
        <w:jc w:val="both"/>
        <w:rPr>
          <w:rFonts w:ascii="Times New Roman" w:hAnsi="Times New Roman" w:cs="Times New Roman"/>
          <w:sz w:val="28"/>
          <w:szCs w:val="28"/>
        </w:rPr>
      </w:pPr>
    </w:p>
    <w:p w:rsidR="00452847" w:rsidRPr="00ED1406" w:rsidRDefault="00EF1540">
      <w:pPr>
        <w:pStyle w:val="ConsPlusNormal"/>
        <w:jc w:val="center"/>
        <w:rPr>
          <w:rFonts w:ascii="Times New Roman" w:hAnsi="Times New Roman" w:cs="Times New Roman"/>
        </w:rPr>
      </w:pPr>
      <w:r>
        <w:rPr>
          <w:rFonts w:ascii="Times New Roman" w:hAnsi="Times New Roman"/>
          <w:b/>
          <w:noProof/>
          <w:sz w:val="28"/>
          <w:szCs w:val="28"/>
        </w:rPr>
        <w:drawing>
          <wp:inline distT="0" distB="0" distL="0" distR="0" wp14:anchorId="2FDCF1B0" wp14:editId="4A30A835">
            <wp:extent cx="3682314" cy="3289096"/>
            <wp:effectExtent l="0" t="0" r="0" b="6985"/>
            <wp:docPr id="2" name="Рисунок 2" descr="плот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тность"/>
                    <pic:cNvPicPr>
                      <a:picLocks noChangeAspect="1" noChangeArrowheads="1"/>
                    </pic:cNvPicPr>
                  </pic:nvPicPr>
                  <pic:blipFill>
                    <a:blip r:embed="rId43" cstate="print">
                      <a:extLst>
                        <a:ext uri="{28A0092B-C50C-407E-A947-70E740481C1C}">
                          <a14:useLocalDpi xmlns:a14="http://schemas.microsoft.com/office/drawing/2010/main" val="0"/>
                        </a:ext>
                      </a:extLst>
                    </a:blip>
                    <a:srcRect l="11366" t="2531" r="11861"/>
                    <a:stretch>
                      <a:fillRect/>
                    </a:stretch>
                  </pic:blipFill>
                  <pic:spPr bwMode="auto">
                    <a:xfrm>
                      <a:off x="0" y="0"/>
                      <a:ext cx="3685056" cy="3291545"/>
                    </a:xfrm>
                    <a:prstGeom prst="rect">
                      <a:avLst/>
                    </a:prstGeom>
                    <a:noFill/>
                    <a:ln>
                      <a:noFill/>
                    </a:ln>
                  </pic:spPr>
                </pic:pic>
              </a:graphicData>
            </a:graphic>
          </wp:inline>
        </w:drawing>
      </w: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t>Наиболее плотно заселены сельские поселения: Кузовский (57,1), Двуреченский (40,4), Плехановский (42,5), Казинский (38,9), Ярлуковский (35,3), Большесамовецкий (33,7) сельские Советы, городское поселение г. Грязи (1197), что обусловлено близостью к областному центру.</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К малочисленным относятся: Коробовский (10,3), В. Телелюйский (15,1), Княжебайгорский (17), Карамышевский (17), Телелюйский (17,9) сельские Советы, что в значительной степени связано с удаленностью от административного центра и невысоким экономическим потенциалом.</w:t>
      </w:r>
    </w:p>
    <w:p w:rsidR="00452847" w:rsidRPr="00ED1406" w:rsidRDefault="00452847">
      <w:pPr>
        <w:pStyle w:val="ConsPlusNormal"/>
        <w:jc w:val="both"/>
        <w:rPr>
          <w:rFonts w:ascii="Times New Roman" w:hAnsi="Times New Roman" w:cs="Times New Roman"/>
        </w:rPr>
      </w:pP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t>Карта N 2</w:t>
      </w:r>
    </w:p>
    <w:p w:rsidR="00452847" w:rsidRPr="00ED1406" w:rsidRDefault="00EF1540">
      <w:pPr>
        <w:pStyle w:val="ConsPlusNormal"/>
        <w:jc w:val="both"/>
        <w:rPr>
          <w:rFonts w:ascii="Times New Roman" w:hAnsi="Times New Roman" w:cs="Times New Roman"/>
        </w:rPr>
      </w:pPr>
      <w:r>
        <w:rPr>
          <w:rFonts w:ascii="Times New Roman" w:hAnsi="Times New Roman"/>
          <w:b/>
          <w:noProof/>
          <w:sz w:val="28"/>
          <w:szCs w:val="28"/>
        </w:rPr>
        <w:drawing>
          <wp:inline distT="0" distB="0" distL="0" distR="0" wp14:anchorId="3CE9A8E6" wp14:editId="6B0158DE">
            <wp:extent cx="3609871" cy="3616411"/>
            <wp:effectExtent l="0" t="0" r="0" b="3175"/>
            <wp:docPr id="3" name="Рисунок 3" descr="промышленность кн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мышленность книж"/>
                    <pic:cNvPicPr>
                      <a:picLocks noChangeAspect="1" noChangeArrowheads="1"/>
                    </pic:cNvPicPr>
                  </pic:nvPicPr>
                  <pic:blipFill>
                    <a:blip r:embed="rId44" cstate="print">
                      <a:extLst>
                        <a:ext uri="{28A0092B-C50C-407E-A947-70E740481C1C}">
                          <a14:useLocalDpi xmlns:a14="http://schemas.microsoft.com/office/drawing/2010/main" val="0"/>
                        </a:ext>
                      </a:extLst>
                    </a:blip>
                    <a:srcRect b="7608"/>
                    <a:stretch>
                      <a:fillRect/>
                    </a:stretch>
                  </pic:blipFill>
                  <pic:spPr bwMode="auto">
                    <a:xfrm>
                      <a:off x="0" y="0"/>
                      <a:ext cx="3609871" cy="3616411"/>
                    </a:xfrm>
                    <a:prstGeom prst="rect">
                      <a:avLst/>
                    </a:prstGeom>
                    <a:noFill/>
                    <a:ln>
                      <a:noFill/>
                    </a:ln>
                  </pic:spPr>
                </pic:pic>
              </a:graphicData>
            </a:graphic>
          </wp:inline>
        </w:drawing>
      </w:r>
    </w:p>
    <w:p w:rsidR="00452847" w:rsidRPr="00ED1406" w:rsidRDefault="00452847">
      <w:pPr>
        <w:pStyle w:val="ConsPlusNormal"/>
        <w:jc w:val="both"/>
        <w:rPr>
          <w:rFonts w:ascii="Times New Roman" w:hAnsi="Times New Roman" w:cs="Times New Roman"/>
        </w:rPr>
      </w:pPr>
    </w:p>
    <w:p w:rsidR="00452847" w:rsidRPr="00EF1540" w:rsidRDefault="00452847">
      <w:pPr>
        <w:pStyle w:val="ConsPlusNormal"/>
        <w:ind w:firstLine="540"/>
        <w:jc w:val="both"/>
        <w:rPr>
          <w:rFonts w:ascii="Times New Roman" w:hAnsi="Times New Roman" w:cs="Times New Roman"/>
          <w:sz w:val="28"/>
          <w:szCs w:val="28"/>
        </w:rPr>
      </w:pPr>
      <w:r w:rsidRPr="00EF1540">
        <w:rPr>
          <w:rFonts w:ascii="Times New Roman" w:hAnsi="Times New Roman" w:cs="Times New Roman"/>
          <w:sz w:val="28"/>
          <w:szCs w:val="28"/>
        </w:rPr>
        <w:lastRenderedPageBreak/>
        <w:t>В составе производственной сферы преобладают промышленность и сельское хозяйство. Ведущее звено хозяйственного комплекса - промышленность.</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Во всех сельских поселениях активно развито растениеводство. Производителями являются не только крупные сельскохозяйственные предприятия, но и крестьянско-фермерские хозяйства и кооперативы. Наиболее развитыми сельскохозяйственными территориями являются поселения: Ярлуковский с/с, где кроме растениеводства развивается животноводство (молочное скотоводство ОАО "Дружба"), Карамышевский с/с, Кузовский с/с, Княжебайгорский с/с, Грязинский с/с.</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В Казинском с/с развито птицеводство (ООО "Липецкптица", ОАО "Куриное царство БЦ "Россия").</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В перспективе в сельском хозяйстве района сохранится ведущее направление - растениеводство.</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С целью повышения эффективности сельскохозяйственного производства во всех поселениях проводится работа по созданию благоприятных условий для формирования заготовительно-сбытовой кооперации, способствующей продвижению продукции местных производителей.</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На территории сельского поселения Казинский с/с продолжает развитие ОЭЗ ППТ "Липецк". Количество зарегистрированных резидентов на сегодня составляет 51. Действующих предприятий 16.</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Перспективы развития района связаны с дальнейшим развитием ОЭЗ ППТ "Липецк", реконструкцией действующих предприятий, развитием малых форм кооперации.</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Для дальнейшего развития Грязинского муниципального района планируется строительство и реконструкция объектов:</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Казинский с/с (на территории ОЭЗ ППТ "Липецк"): строительство заводов:</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по переработке и консервированию картофеля ООО "Лэм Уэстон Белая Дача";</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по производству высокотехнологичной ультрапрочной стальной проволоки ООО "КАТТИНГ ЭДЖ ТЕХНОЛОДЖИС";</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производство светодиодных светильников ООО "Производственное объединение ЭНЕРКОМ";</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производство радиаторов и котлов центрального отопления ООО "ФОНДИТАЛЬ";</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производство геосинтетических материалов ООО "ПРЕСТОРУСЬ";</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lastRenderedPageBreak/>
        <w:t>- производство частей и принадлежностей и их деталей ООО "МЕТАЛИСТ РУС";</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производство ручного инструмента ООО "Русский инструмент";</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реконструкция птицефермы.</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Городское поселение г. Грязи:</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реконструкция ЗАО "Грязинский сахарный завод";</w:t>
      </w:r>
    </w:p>
    <w:p w:rsidR="00452847" w:rsidRPr="00EF1540" w:rsidRDefault="00452847">
      <w:pPr>
        <w:pStyle w:val="ConsPlusNormal"/>
        <w:spacing w:before="200"/>
        <w:ind w:firstLine="540"/>
        <w:jc w:val="both"/>
        <w:rPr>
          <w:rFonts w:ascii="Times New Roman" w:hAnsi="Times New Roman" w:cs="Times New Roman"/>
          <w:sz w:val="28"/>
          <w:szCs w:val="28"/>
        </w:rPr>
      </w:pPr>
      <w:r w:rsidRPr="00EF1540">
        <w:rPr>
          <w:rFonts w:ascii="Times New Roman" w:hAnsi="Times New Roman" w:cs="Times New Roman"/>
          <w:sz w:val="28"/>
          <w:szCs w:val="28"/>
        </w:rPr>
        <w:t>- реконструкция вагоноремонтного предприятия.</w:t>
      </w:r>
    </w:p>
    <w:p w:rsidR="00452847" w:rsidRPr="00ED1406" w:rsidRDefault="00452847">
      <w:pPr>
        <w:pStyle w:val="ConsPlusNormal"/>
        <w:jc w:val="both"/>
        <w:rPr>
          <w:rFonts w:ascii="Times New Roman" w:hAnsi="Times New Roman" w:cs="Times New Roman"/>
        </w:rPr>
      </w:pPr>
    </w:p>
    <w:p w:rsidR="00452847" w:rsidRPr="00D942A1" w:rsidRDefault="00452847">
      <w:pPr>
        <w:pStyle w:val="ConsPlusNormal"/>
        <w:ind w:firstLine="540"/>
        <w:jc w:val="both"/>
        <w:rPr>
          <w:rFonts w:ascii="Times New Roman" w:hAnsi="Times New Roman" w:cs="Times New Roman"/>
          <w:sz w:val="28"/>
          <w:szCs w:val="28"/>
        </w:rPr>
      </w:pPr>
      <w:r w:rsidRPr="00D942A1">
        <w:rPr>
          <w:rFonts w:ascii="Times New Roman" w:hAnsi="Times New Roman" w:cs="Times New Roman"/>
          <w:sz w:val="28"/>
          <w:szCs w:val="28"/>
        </w:rPr>
        <w:t>Карта N 3</w:t>
      </w:r>
    </w:p>
    <w:p w:rsidR="00452847" w:rsidRPr="00ED1406" w:rsidRDefault="00452847">
      <w:pPr>
        <w:pStyle w:val="ConsPlusNormal"/>
        <w:jc w:val="both"/>
        <w:rPr>
          <w:rFonts w:ascii="Times New Roman" w:hAnsi="Times New Roman" w:cs="Times New Roman"/>
        </w:rPr>
      </w:pPr>
    </w:p>
    <w:p w:rsidR="00452847" w:rsidRPr="00ED1406" w:rsidRDefault="00D942A1">
      <w:pPr>
        <w:pStyle w:val="ConsPlusNormal"/>
        <w:jc w:val="both"/>
        <w:rPr>
          <w:rFonts w:ascii="Times New Roman" w:hAnsi="Times New Roman" w:cs="Times New Roman"/>
        </w:rPr>
      </w:pPr>
      <w:r>
        <w:rPr>
          <w:rFonts w:ascii="Times New Roman" w:hAnsi="Times New Roman"/>
          <w:b/>
          <w:noProof/>
          <w:sz w:val="28"/>
          <w:szCs w:val="28"/>
        </w:rPr>
        <w:drawing>
          <wp:inline distT="0" distB="0" distL="0" distR="0">
            <wp:extent cx="4160108" cy="3681060"/>
            <wp:effectExtent l="0" t="0" r="0" b="0"/>
            <wp:docPr id="4" name="Рисунок 4" descr="тр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уд"/>
                    <pic:cNvPicPr>
                      <a:picLocks noChangeAspect="1" noChangeArrowheads="1"/>
                    </pic:cNvPicPr>
                  </pic:nvPicPr>
                  <pic:blipFill>
                    <a:blip r:embed="rId45" cstate="print">
                      <a:extLst>
                        <a:ext uri="{28A0092B-C50C-407E-A947-70E740481C1C}">
                          <a14:useLocalDpi xmlns:a14="http://schemas.microsoft.com/office/drawing/2010/main" val="0"/>
                        </a:ext>
                      </a:extLst>
                    </a:blip>
                    <a:srcRect l="11627" t="2681" r="12210" b="1855"/>
                    <a:stretch>
                      <a:fillRect/>
                    </a:stretch>
                  </pic:blipFill>
                  <pic:spPr bwMode="auto">
                    <a:xfrm>
                      <a:off x="0" y="0"/>
                      <a:ext cx="4160604" cy="3681499"/>
                    </a:xfrm>
                    <a:prstGeom prst="rect">
                      <a:avLst/>
                    </a:prstGeom>
                    <a:noFill/>
                    <a:ln>
                      <a:noFill/>
                    </a:ln>
                  </pic:spPr>
                </pic:pic>
              </a:graphicData>
            </a:graphic>
          </wp:inline>
        </w:drawing>
      </w:r>
    </w:p>
    <w:p w:rsidR="00452847" w:rsidRPr="00D942A1" w:rsidRDefault="00452847">
      <w:pPr>
        <w:pStyle w:val="ConsPlusNormal"/>
        <w:ind w:firstLine="540"/>
        <w:jc w:val="both"/>
        <w:rPr>
          <w:rFonts w:ascii="Times New Roman" w:hAnsi="Times New Roman" w:cs="Times New Roman"/>
          <w:sz w:val="28"/>
          <w:szCs w:val="28"/>
        </w:rPr>
      </w:pPr>
      <w:r w:rsidRPr="00D942A1">
        <w:rPr>
          <w:rFonts w:ascii="Times New Roman" w:hAnsi="Times New Roman" w:cs="Times New Roman"/>
          <w:sz w:val="28"/>
          <w:szCs w:val="28"/>
        </w:rPr>
        <w:t>Доля населения трудоспособного возраста составляет 51% от общей численности населения, доля пенсионеров 29%.</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Трудоспособное население, не занятое в экономике района, - 1984 человека, за пределами района работают 3596 человек.</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Ежегодно прослеживается увеличение числа занятых в экономике, что обусловлено развитием ОЭЗ ППТ "Липецк".</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Основная доля занятого в экономике населения сконцентрирована в городском поселении г. Грязи и сельских поселениях: Казинский с/с, Плехановский с/с, Большесамовецкий с/с, Ярлуковский с/с, Петровский с/с.</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По численности населения, занятого в экономике, поселения можно разделить на группы:</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 xml:space="preserve">- до 1000 человек - сельские поселения: Коробовский с/с, В. Телелюйский с/с, Двуреченский с/с, Сошкинский с/с, Грязинский с/с, </w:t>
      </w:r>
      <w:r w:rsidRPr="00D942A1">
        <w:rPr>
          <w:rFonts w:ascii="Times New Roman" w:hAnsi="Times New Roman" w:cs="Times New Roman"/>
          <w:sz w:val="28"/>
          <w:szCs w:val="28"/>
        </w:rPr>
        <w:lastRenderedPageBreak/>
        <w:t>Бутырский с/с, Карамышевский с/с, Княжебайгорский с/с;</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 от 1000 до 1500 человек - сельские поселения: Большесамовецкий с/с, Петровский с/с, Ярлуковский с/с;</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 свыше 1500 чел. - сельские поселения: Казинский с/с, Плехановский с/с;</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 свыше 25 тыс. чел. - городское поселение г. Грязи.</w:t>
      </w:r>
    </w:p>
    <w:p w:rsidR="00452847" w:rsidRPr="00D942A1" w:rsidRDefault="00452847">
      <w:pPr>
        <w:pStyle w:val="ConsPlusNormal"/>
        <w:spacing w:before="200"/>
        <w:ind w:firstLine="540"/>
        <w:jc w:val="both"/>
        <w:rPr>
          <w:rFonts w:ascii="Times New Roman" w:hAnsi="Times New Roman" w:cs="Times New Roman"/>
          <w:sz w:val="28"/>
          <w:szCs w:val="28"/>
        </w:rPr>
      </w:pPr>
      <w:r w:rsidRPr="00D942A1">
        <w:rPr>
          <w:rFonts w:ascii="Times New Roman" w:hAnsi="Times New Roman" w:cs="Times New Roman"/>
          <w:sz w:val="28"/>
          <w:szCs w:val="28"/>
        </w:rPr>
        <w:t>В районе особое внимание уделяется социальной сфере.</w:t>
      </w:r>
    </w:p>
    <w:p w:rsidR="00452847" w:rsidRPr="00D942A1" w:rsidRDefault="00452847">
      <w:pPr>
        <w:pStyle w:val="ConsPlusNormal"/>
        <w:jc w:val="both"/>
        <w:rPr>
          <w:rFonts w:ascii="Times New Roman" w:hAnsi="Times New Roman" w:cs="Times New Roman"/>
          <w:sz w:val="28"/>
          <w:szCs w:val="28"/>
        </w:rPr>
      </w:pPr>
    </w:p>
    <w:p w:rsidR="00452847" w:rsidRPr="00D942A1" w:rsidRDefault="00452847">
      <w:pPr>
        <w:pStyle w:val="ConsPlusNormal"/>
        <w:ind w:firstLine="540"/>
        <w:jc w:val="both"/>
        <w:rPr>
          <w:rFonts w:ascii="Times New Roman" w:hAnsi="Times New Roman" w:cs="Times New Roman"/>
          <w:sz w:val="28"/>
          <w:szCs w:val="28"/>
        </w:rPr>
      </w:pPr>
      <w:r w:rsidRPr="00D942A1">
        <w:rPr>
          <w:rFonts w:ascii="Times New Roman" w:hAnsi="Times New Roman" w:cs="Times New Roman"/>
          <w:sz w:val="28"/>
          <w:szCs w:val="28"/>
        </w:rPr>
        <w:t>Карта N 4</w:t>
      </w:r>
    </w:p>
    <w:p w:rsidR="00452847" w:rsidRPr="00ED1406" w:rsidRDefault="00452847">
      <w:pPr>
        <w:pStyle w:val="ConsPlusNormal"/>
        <w:jc w:val="both"/>
        <w:rPr>
          <w:rFonts w:ascii="Times New Roman" w:hAnsi="Times New Roman" w:cs="Times New Roman"/>
        </w:rPr>
      </w:pPr>
    </w:p>
    <w:p w:rsidR="00452847" w:rsidRPr="00ED1406" w:rsidRDefault="00361F8F">
      <w:pPr>
        <w:pStyle w:val="ConsPlusNormal"/>
        <w:jc w:val="both"/>
        <w:rPr>
          <w:rFonts w:ascii="Times New Roman" w:hAnsi="Times New Roman" w:cs="Times New Roman"/>
        </w:rPr>
      </w:pPr>
      <w:r>
        <w:rPr>
          <w:rFonts w:ascii="Times New Roman" w:hAnsi="Times New Roman"/>
          <w:b/>
          <w:noProof/>
          <w:sz w:val="28"/>
          <w:szCs w:val="28"/>
        </w:rPr>
        <w:drawing>
          <wp:inline distT="0" distB="0" distL="0" distR="0">
            <wp:extent cx="4440194" cy="3778405"/>
            <wp:effectExtent l="0" t="0" r="0" b="0"/>
            <wp:docPr id="5" name="Рисунок 5" descr="соц объ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ц объекты"/>
                    <pic:cNvPicPr>
                      <a:picLocks noChangeAspect="1" noChangeArrowheads="1"/>
                    </pic:cNvPicPr>
                  </pic:nvPicPr>
                  <pic:blipFill>
                    <a:blip r:embed="rId46" cstate="print">
                      <a:extLst>
                        <a:ext uri="{28A0092B-C50C-407E-A947-70E740481C1C}">
                          <a14:useLocalDpi xmlns:a14="http://schemas.microsoft.com/office/drawing/2010/main" val="0"/>
                        </a:ext>
                      </a:extLst>
                    </a:blip>
                    <a:srcRect l="18370" t="1953" r="2209" b="2539"/>
                    <a:stretch>
                      <a:fillRect/>
                    </a:stretch>
                  </pic:blipFill>
                  <pic:spPr bwMode="auto">
                    <a:xfrm>
                      <a:off x="0" y="0"/>
                      <a:ext cx="4440358" cy="3778544"/>
                    </a:xfrm>
                    <a:prstGeom prst="rect">
                      <a:avLst/>
                    </a:prstGeom>
                    <a:noFill/>
                    <a:ln>
                      <a:noFill/>
                    </a:ln>
                  </pic:spPr>
                </pic:pic>
              </a:graphicData>
            </a:graphic>
          </wp:inline>
        </w:drawing>
      </w:r>
    </w:p>
    <w:p w:rsidR="00361F8F" w:rsidRDefault="00361F8F">
      <w:pPr>
        <w:pStyle w:val="ConsPlusNormal"/>
        <w:ind w:firstLine="540"/>
        <w:jc w:val="both"/>
        <w:rPr>
          <w:rFonts w:ascii="Times New Roman" w:hAnsi="Times New Roman" w:cs="Times New Roman"/>
          <w:sz w:val="28"/>
          <w:szCs w:val="28"/>
        </w:rPr>
      </w:pPr>
    </w:p>
    <w:p w:rsidR="00452847" w:rsidRPr="00361F8F" w:rsidRDefault="00452847">
      <w:pPr>
        <w:pStyle w:val="ConsPlusNormal"/>
        <w:ind w:firstLine="540"/>
        <w:jc w:val="both"/>
        <w:rPr>
          <w:rFonts w:ascii="Times New Roman" w:hAnsi="Times New Roman" w:cs="Times New Roman"/>
          <w:sz w:val="28"/>
          <w:szCs w:val="28"/>
        </w:rPr>
      </w:pPr>
      <w:r w:rsidRPr="00361F8F">
        <w:rPr>
          <w:rFonts w:ascii="Times New Roman" w:hAnsi="Times New Roman" w:cs="Times New Roman"/>
          <w:sz w:val="28"/>
          <w:szCs w:val="28"/>
        </w:rPr>
        <w:t>Район имеет развитую сеть медицинских, образовательных, культурно-развлекательных учреждений. Во всех сельских поселениях работают учреждения культуры, здравоохранения, образования.</w:t>
      </w:r>
    </w:p>
    <w:p w:rsidR="00452847" w:rsidRPr="00361F8F" w:rsidRDefault="00452847">
      <w:pPr>
        <w:pStyle w:val="ConsPlusNormal"/>
        <w:spacing w:before="200"/>
        <w:ind w:firstLine="540"/>
        <w:jc w:val="both"/>
        <w:rPr>
          <w:rFonts w:ascii="Times New Roman" w:hAnsi="Times New Roman" w:cs="Times New Roman"/>
          <w:sz w:val="28"/>
          <w:szCs w:val="28"/>
        </w:rPr>
      </w:pPr>
      <w:r w:rsidRPr="00361F8F">
        <w:rPr>
          <w:rFonts w:ascii="Times New Roman" w:hAnsi="Times New Roman" w:cs="Times New Roman"/>
          <w:sz w:val="28"/>
          <w:szCs w:val="28"/>
        </w:rPr>
        <w:t>Для создания благоприятных условий жизнедеятельности требуется дальнейшее развитие социальной сферы Грязинского муниципального района.</w:t>
      </w:r>
    </w:p>
    <w:p w:rsidR="00452847" w:rsidRPr="00361F8F" w:rsidRDefault="00452847">
      <w:pPr>
        <w:pStyle w:val="ConsPlusNormal"/>
        <w:spacing w:before="200"/>
        <w:ind w:firstLine="540"/>
        <w:jc w:val="both"/>
        <w:rPr>
          <w:rFonts w:ascii="Times New Roman" w:hAnsi="Times New Roman" w:cs="Times New Roman"/>
          <w:sz w:val="28"/>
          <w:szCs w:val="28"/>
        </w:rPr>
      </w:pPr>
      <w:r w:rsidRPr="00361F8F">
        <w:rPr>
          <w:rFonts w:ascii="Times New Roman" w:hAnsi="Times New Roman" w:cs="Times New Roman"/>
          <w:sz w:val="28"/>
          <w:szCs w:val="28"/>
        </w:rPr>
        <w:t>Развитие социальной сферы района предусматривает строительство новых объектов или реконструкцию существующих.</w:t>
      </w:r>
    </w:p>
    <w:p w:rsidR="00452847" w:rsidRPr="00361F8F" w:rsidRDefault="00452847">
      <w:pPr>
        <w:pStyle w:val="ConsPlusNormal"/>
        <w:jc w:val="both"/>
        <w:rPr>
          <w:rFonts w:ascii="Times New Roman" w:hAnsi="Times New Roman" w:cs="Times New Roman"/>
          <w:sz w:val="28"/>
          <w:szCs w:val="28"/>
        </w:rPr>
      </w:pPr>
    </w:p>
    <w:p w:rsidR="00361F8F" w:rsidRDefault="00361F8F">
      <w:pPr>
        <w:pStyle w:val="ConsPlusNormal"/>
        <w:ind w:firstLine="540"/>
        <w:jc w:val="both"/>
        <w:rPr>
          <w:rFonts w:ascii="Times New Roman" w:hAnsi="Times New Roman" w:cs="Times New Roman"/>
          <w:sz w:val="28"/>
          <w:szCs w:val="28"/>
        </w:rPr>
      </w:pPr>
    </w:p>
    <w:p w:rsidR="00361F8F" w:rsidRDefault="00361F8F">
      <w:pPr>
        <w:pStyle w:val="ConsPlusNormal"/>
        <w:ind w:firstLine="540"/>
        <w:jc w:val="both"/>
        <w:rPr>
          <w:rFonts w:ascii="Times New Roman" w:hAnsi="Times New Roman" w:cs="Times New Roman"/>
          <w:sz w:val="28"/>
          <w:szCs w:val="28"/>
        </w:rPr>
      </w:pPr>
    </w:p>
    <w:p w:rsidR="00361F8F" w:rsidRDefault="00361F8F">
      <w:pPr>
        <w:pStyle w:val="ConsPlusNormal"/>
        <w:ind w:firstLine="540"/>
        <w:jc w:val="both"/>
        <w:rPr>
          <w:rFonts w:ascii="Times New Roman" w:hAnsi="Times New Roman" w:cs="Times New Roman"/>
          <w:sz w:val="28"/>
          <w:szCs w:val="28"/>
        </w:rPr>
      </w:pPr>
    </w:p>
    <w:p w:rsidR="00361F8F" w:rsidRDefault="00361F8F">
      <w:pPr>
        <w:pStyle w:val="ConsPlusNormal"/>
        <w:ind w:firstLine="540"/>
        <w:jc w:val="both"/>
        <w:rPr>
          <w:rFonts w:ascii="Times New Roman" w:hAnsi="Times New Roman" w:cs="Times New Roman"/>
          <w:sz w:val="28"/>
          <w:szCs w:val="28"/>
        </w:rPr>
      </w:pPr>
    </w:p>
    <w:p w:rsidR="00361F8F" w:rsidRDefault="00361F8F">
      <w:pPr>
        <w:pStyle w:val="ConsPlusNormal"/>
        <w:ind w:firstLine="540"/>
        <w:jc w:val="both"/>
        <w:rPr>
          <w:rFonts w:ascii="Times New Roman" w:hAnsi="Times New Roman" w:cs="Times New Roman"/>
          <w:sz w:val="28"/>
          <w:szCs w:val="28"/>
        </w:rPr>
      </w:pPr>
    </w:p>
    <w:p w:rsidR="00452847" w:rsidRPr="00361F8F" w:rsidRDefault="00452847">
      <w:pPr>
        <w:pStyle w:val="ConsPlusNormal"/>
        <w:ind w:firstLine="540"/>
        <w:jc w:val="both"/>
        <w:rPr>
          <w:rFonts w:ascii="Times New Roman" w:hAnsi="Times New Roman" w:cs="Times New Roman"/>
          <w:sz w:val="28"/>
          <w:szCs w:val="28"/>
        </w:rPr>
      </w:pPr>
      <w:r w:rsidRPr="00361F8F">
        <w:rPr>
          <w:rFonts w:ascii="Times New Roman" w:hAnsi="Times New Roman" w:cs="Times New Roman"/>
          <w:sz w:val="28"/>
          <w:szCs w:val="28"/>
        </w:rPr>
        <w:lastRenderedPageBreak/>
        <w:t>Карта N 5</w:t>
      </w:r>
    </w:p>
    <w:p w:rsidR="00452847" w:rsidRPr="00ED1406" w:rsidRDefault="00452847">
      <w:pPr>
        <w:pStyle w:val="ConsPlusNormal"/>
        <w:jc w:val="both"/>
        <w:rPr>
          <w:rFonts w:ascii="Times New Roman" w:hAnsi="Times New Roman" w:cs="Times New Roman"/>
        </w:rPr>
      </w:pPr>
    </w:p>
    <w:p w:rsidR="00452847" w:rsidRPr="00ED1406" w:rsidRDefault="00223895">
      <w:pPr>
        <w:pStyle w:val="ConsPlusNormal"/>
        <w:jc w:val="both"/>
        <w:rPr>
          <w:rFonts w:ascii="Times New Roman" w:hAnsi="Times New Roman" w:cs="Times New Roman"/>
        </w:rPr>
      </w:pPr>
      <w:r>
        <w:rPr>
          <w:rFonts w:ascii="Times New Roman" w:hAnsi="Times New Roman"/>
          <w:b/>
          <w:noProof/>
          <w:sz w:val="28"/>
          <w:szCs w:val="28"/>
        </w:rPr>
        <w:drawing>
          <wp:inline distT="0" distB="0" distL="0" distR="0">
            <wp:extent cx="4629665" cy="4218674"/>
            <wp:effectExtent l="0" t="0" r="0" b="0"/>
            <wp:docPr id="7" name="Рисунок 7" descr="соц объекты буду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ц объекты будущ"/>
                    <pic:cNvPicPr>
                      <a:picLocks noChangeAspect="1" noChangeArrowheads="1"/>
                    </pic:cNvPicPr>
                  </pic:nvPicPr>
                  <pic:blipFill>
                    <a:blip r:embed="rId47" cstate="print">
                      <a:extLst>
                        <a:ext uri="{28A0092B-C50C-407E-A947-70E740481C1C}">
                          <a14:useLocalDpi xmlns:a14="http://schemas.microsoft.com/office/drawing/2010/main" val="0"/>
                        </a:ext>
                      </a:extLst>
                    </a:blip>
                    <a:srcRect l="22240" r="1711" b="2203"/>
                    <a:stretch>
                      <a:fillRect/>
                    </a:stretch>
                  </pic:blipFill>
                  <pic:spPr bwMode="auto">
                    <a:xfrm>
                      <a:off x="0" y="0"/>
                      <a:ext cx="4629713" cy="4218718"/>
                    </a:xfrm>
                    <a:prstGeom prst="rect">
                      <a:avLst/>
                    </a:prstGeom>
                    <a:noFill/>
                    <a:ln>
                      <a:noFill/>
                    </a:ln>
                  </pic:spPr>
                </pic:pic>
              </a:graphicData>
            </a:graphic>
          </wp:inline>
        </w:drawing>
      </w: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Планируется: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строительство домов культуры в поселениях: Казинский с/с, Телелюйский с/с, Петровский с/с;</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строительство школы на 800 мест, детского сада на 200 мест в городском поселении г. Грязи;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проведение капитального ремонта в учреждениях образования городского поселения г. Грязи;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строительство офиса врачебной практики в сельском поселении Княжебайгорский с/с.</w:t>
      </w:r>
    </w:p>
    <w:p w:rsidR="00452847" w:rsidRPr="00ED1406" w:rsidRDefault="00452847">
      <w:pPr>
        <w:pStyle w:val="ConsPlusNormal"/>
        <w:jc w:val="both"/>
        <w:rPr>
          <w:rFonts w:ascii="Times New Roman" w:hAnsi="Times New Roman" w:cs="Times New Roman"/>
        </w:rPr>
      </w:pPr>
    </w:p>
    <w:p w:rsidR="00452847" w:rsidRPr="00ED1406" w:rsidRDefault="00452847">
      <w:pPr>
        <w:pStyle w:val="ConsPlusTitle"/>
        <w:ind w:firstLine="540"/>
        <w:jc w:val="both"/>
        <w:outlineLvl w:val="1"/>
        <w:rPr>
          <w:rFonts w:ascii="Times New Roman" w:hAnsi="Times New Roman" w:cs="Times New Roman"/>
        </w:rPr>
      </w:pPr>
      <w:r w:rsidRPr="00ED1406">
        <w:rPr>
          <w:rFonts w:ascii="Times New Roman" w:hAnsi="Times New Roman" w:cs="Times New Roman"/>
        </w:rPr>
        <w:t>6. СТРАТЕГИЧЕСКИЕ ЗАДАЧИ ПО ВОПРОСАМ РЕАЛИЗАЦИИ ПОЛНОМОЧИЙ МУНИЦИПАЛЬНОГО РАЙОНА</w:t>
      </w:r>
    </w:p>
    <w:p w:rsidR="00452847" w:rsidRPr="00ED1406" w:rsidRDefault="00452847">
      <w:pPr>
        <w:pStyle w:val="ConsPlusNormal"/>
        <w:jc w:val="both"/>
        <w:rPr>
          <w:rFonts w:ascii="Times New Roman" w:hAnsi="Times New Roman" w:cs="Times New Roman"/>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Исключен. - </w:t>
      </w:r>
      <w:hyperlink r:id="rId48">
        <w:r w:rsidRPr="00223895">
          <w:rPr>
            <w:rFonts w:ascii="Times New Roman" w:hAnsi="Times New Roman" w:cs="Times New Roman"/>
            <w:color w:val="0000FF"/>
            <w:sz w:val="28"/>
            <w:szCs w:val="28"/>
          </w:rPr>
          <w:t>Решение</w:t>
        </w:r>
      </w:hyperlink>
      <w:r w:rsidRPr="00223895">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1"/>
        <w:rPr>
          <w:rFonts w:ascii="Times New Roman" w:hAnsi="Times New Roman" w:cs="Times New Roman"/>
          <w:sz w:val="28"/>
          <w:szCs w:val="28"/>
        </w:rPr>
      </w:pPr>
      <w:r w:rsidRPr="00223895">
        <w:rPr>
          <w:rFonts w:ascii="Times New Roman" w:hAnsi="Times New Roman" w:cs="Times New Roman"/>
          <w:sz w:val="28"/>
          <w:szCs w:val="28"/>
        </w:rPr>
        <w:t>7. ПРИОРИТЕТЫ РАЗВИТИЯ ГРЯЗИНСКОГО РАЙОНА</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7.1. Развитие особой экономической зоны "Липецк"</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Особая экономическая зона промышленно-производственного типа "Липецк" в Грязинском районе занимает площадь свыше 10 кв. км, должна обеспечивать функционирование более 39 резидентов, предполагает объем </w:t>
      </w:r>
      <w:r w:rsidRPr="00223895">
        <w:rPr>
          <w:rFonts w:ascii="Times New Roman" w:hAnsi="Times New Roman" w:cs="Times New Roman"/>
          <w:sz w:val="28"/>
          <w:szCs w:val="28"/>
        </w:rPr>
        <w:lastRenderedPageBreak/>
        <w:t>инвестиций в 21,5 млрд. руб., создает 13 тыс. рабочих мест.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Создание ОЭЗ "Липецк" должно стать базовым элементом, позволяющим преодолеть сложившуюся моноотраслевую структуру промышленности в Липецкой области, ускорить развитие обрабатывающих производств с высокой долей добавленной стоимости.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Целями создания ОЭЗ являются: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благоприятного инвестиционного климата для привлечения иностранных и отечественных инвестиций;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продвижение бренда ОЭЗ "Липецк";</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современных промышленно-производственных комплексов, отвечающих мировым стандартам;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высокотехнологичного производства по выпуску продукции глубокой промышленной переработки;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стимулирование экспорта продукции.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 первом этапе создания ОЭЗ (2006 - 2008 гг.) планируется привлечение прямых иностранных инвестиций в Липецкую область для организации производства комплектующих для холодильников и стиральных машин, а также новых обрабатывающих производств.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Предполагаемые бюджетные затраты на создание объектов инфраструктуры ОЭЗ составят 1,56 млрд. руб., в т.ч. из федерального бюджета - 760 млн. руб., из бюджета Липецкой области - 800 млн. руб. (привлечение бюджетных средств планируется на первом этапе создания ОЭЗ - в 2006 - 2008 гг.).</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2006 году выделены из областного бюджета ассигнования в размере 240 млн. рублей на проектирование, создание и развитие объектов инфраструктуры ОЭЗ.</w:t>
      </w:r>
    </w:p>
    <w:p w:rsidR="00452847" w:rsidRPr="00ED1406" w:rsidRDefault="00452847">
      <w:pPr>
        <w:pStyle w:val="ConsPlusNormal"/>
        <w:jc w:val="both"/>
        <w:rPr>
          <w:rFonts w:ascii="Times New Roman" w:hAnsi="Times New Roman" w:cs="Times New Roman"/>
        </w:rPr>
      </w:pPr>
    </w:p>
    <w:p w:rsidR="00452847" w:rsidRDefault="00452847">
      <w:pPr>
        <w:pStyle w:val="ConsPlusNormal"/>
        <w:sectPr w:rsidR="00452847" w:rsidSect="00ED1406">
          <w:pgSz w:w="11906" w:h="16838"/>
          <w:pgMar w:top="851" w:right="850" w:bottom="851"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907"/>
        <w:gridCol w:w="907"/>
        <w:gridCol w:w="907"/>
        <w:gridCol w:w="907"/>
        <w:gridCol w:w="907"/>
        <w:gridCol w:w="907"/>
        <w:gridCol w:w="907"/>
        <w:gridCol w:w="907"/>
        <w:gridCol w:w="907"/>
        <w:gridCol w:w="1020"/>
      </w:tblGrid>
      <w:tr w:rsidR="00452847" w:rsidRPr="00223895">
        <w:tc>
          <w:tcPr>
            <w:tcW w:w="2098" w:type="dxa"/>
            <w:vMerge w:val="restart"/>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lastRenderedPageBreak/>
              <w:t>Показатели</w:t>
            </w:r>
          </w:p>
        </w:tc>
        <w:tc>
          <w:tcPr>
            <w:tcW w:w="9183" w:type="dxa"/>
            <w:gridSpan w:val="10"/>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Годы</w:t>
            </w:r>
          </w:p>
        </w:tc>
      </w:tr>
      <w:tr w:rsidR="00452847" w:rsidRPr="00223895">
        <w:tc>
          <w:tcPr>
            <w:tcW w:w="2098" w:type="dxa"/>
            <w:vMerge/>
          </w:tcPr>
          <w:p w:rsidR="00452847" w:rsidRPr="00223895" w:rsidRDefault="00452847">
            <w:pPr>
              <w:pStyle w:val="ConsPlusNormal"/>
              <w:rPr>
                <w:rFonts w:ascii="Times New Roman" w:hAnsi="Times New Roman" w:cs="Times New Roman"/>
                <w:sz w:val="28"/>
                <w:szCs w:val="28"/>
              </w:rPr>
            </w:pP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2007</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2008</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2009</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2010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2011</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2012</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2013</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2014</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2015</w:t>
            </w:r>
          </w:p>
        </w:tc>
        <w:tc>
          <w:tcPr>
            <w:tcW w:w="1020"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2020</w:t>
            </w:r>
          </w:p>
        </w:tc>
      </w:tr>
      <w:tr w:rsidR="00452847" w:rsidRPr="00223895">
        <w:tc>
          <w:tcPr>
            <w:tcW w:w="2098" w:type="dxa"/>
          </w:tcPr>
          <w:p w:rsidR="00452847" w:rsidRPr="00223895" w:rsidRDefault="00452847">
            <w:pPr>
              <w:pStyle w:val="ConsPlusNormal"/>
              <w:rPr>
                <w:rFonts w:ascii="Times New Roman" w:hAnsi="Times New Roman" w:cs="Times New Roman"/>
                <w:sz w:val="28"/>
                <w:szCs w:val="28"/>
              </w:rPr>
            </w:pPr>
            <w:r w:rsidRPr="00223895">
              <w:rPr>
                <w:rFonts w:ascii="Times New Roman" w:hAnsi="Times New Roman" w:cs="Times New Roman"/>
                <w:sz w:val="28"/>
                <w:szCs w:val="28"/>
              </w:rPr>
              <w:t>Количество резидентов, шт.</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15</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21</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25</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29</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33</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37</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39</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39</w:t>
            </w:r>
          </w:p>
        </w:tc>
        <w:tc>
          <w:tcPr>
            <w:tcW w:w="1020"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39</w:t>
            </w:r>
          </w:p>
        </w:tc>
      </w:tr>
      <w:tr w:rsidR="00452847" w:rsidRPr="00223895">
        <w:tc>
          <w:tcPr>
            <w:tcW w:w="2098" w:type="dxa"/>
          </w:tcPr>
          <w:p w:rsidR="00452847" w:rsidRPr="00223895" w:rsidRDefault="00452847">
            <w:pPr>
              <w:pStyle w:val="ConsPlusNormal"/>
              <w:rPr>
                <w:rFonts w:ascii="Times New Roman" w:hAnsi="Times New Roman" w:cs="Times New Roman"/>
                <w:sz w:val="28"/>
                <w:szCs w:val="28"/>
              </w:rPr>
            </w:pPr>
            <w:r w:rsidRPr="00223895">
              <w:rPr>
                <w:rFonts w:ascii="Times New Roman" w:hAnsi="Times New Roman" w:cs="Times New Roman"/>
                <w:sz w:val="28"/>
                <w:szCs w:val="28"/>
              </w:rPr>
              <w:t>Объем инвестиций, млн. руб.</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3500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5000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9000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11000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12000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11000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10500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9500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7500</w:t>
            </w:r>
          </w:p>
        </w:tc>
        <w:tc>
          <w:tcPr>
            <w:tcW w:w="1020"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9500</w:t>
            </w:r>
          </w:p>
        </w:tc>
      </w:tr>
      <w:tr w:rsidR="00452847" w:rsidRPr="00223895">
        <w:tc>
          <w:tcPr>
            <w:tcW w:w="2098" w:type="dxa"/>
          </w:tcPr>
          <w:p w:rsidR="00452847" w:rsidRPr="00223895" w:rsidRDefault="00452847">
            <w:pPr>
              <w:pStyle w:val="ConsPlusNormal"/>
              <w:rPr>
                <w:rFonts w:ascii="Times New Roman" w:hAnsi="Times New Roman" w:cs="Times New Roman"/>
                <w:sz w:val="28"/>
                <w:szCs w:val="28"/>
              </w:rPr>
            </w:pPr>
            <w:r w:rsidRPr="00223895">
              <w:rPr>
                <w:rFonts w:ascii="Times New Roman" w:hAnsi="Times New Roman" w:cs="Times New Roman"/>
                <w:sz w:val="28"/>
                <w:szCs w:val="28"/>
              </w:rPr>
              <w:t>Объем производства, млн. руб.</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570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1700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5700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13400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35400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60400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70000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75000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90000</w:t>
            </w:r>
          </w:p>
        </w:tc>
        <w:tc>
          <w:tcPr>
            <w:tcW w:w="1020"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100000</w:t>
            </w:r>
          </w:p>
        </w:tc>
      </w:tr>
      <w:tr w:rsidR="00452847" w:rsidRPr="00223895">
        <w:tc>
          <w:tcPr>
            <w:tcW w:w="2098" w:type="dxa"/>
          </w:tcPr>
          <w:p w:rsidR="00452847" w:rsidRPr="00223895" w:rsidRDefault="00452847">
            <w:pPr>
              <w:pStyle w:val="ConsPlusNormal"/>
              <w:rPr>
                <w:rFonts w:ascii="Times New Roman" w:hAnsi="Times New Roman" w:cs="Times New Roman"/>
                <w:sz w:val="28"/>
                <w:szCs w:val="28"/>
              </w:rPr>
            </w:pPr>
            <w:r w:rsidRPr="00223895">
              <w:rPr>
                <w:rFonts w:ascii="Times New Roman" w:hAnsi="Times New Roman" w:cs="Times New Roman"/>
                <w:sz w:val="28"/>
                <w:szCs w:val="28"/>
              </w:rPr>
              <w:t>Количество рабочих мест, чел.</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550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1550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3050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5000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7000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9000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11000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13000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14000</w:t>
            </w:r>
          </w:p>
        </w:tc>
        <w:tc>
          <w:tcPr>
            <w:tcW w:w="1020"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14550</w:t>
            </w:r>
          </w:p>
        </w:tc>
      </w:tr>
      <w:tr w:rsidR="00452847" w:rsidRPr="00223895">
        <w:tc>
          <w:tcPr>
            <w:tcW w:w="2098" w:type="dxa"/>
          </w:tcPr>
          <w:p w:rsidR="00452847" w:rsidRPr="00223895" w:rsidRDefault="00452847">
            <w:pPr>
              <w:pStyle w:val="ConsPlusNormal"/>
              <w:rPr>
                <w:rFonts w:ascii="Times New Roman" w:hAnsi="Times New Roman" w:cs="Times New Roman"/>
                <w:sz w:val="28"/>
                <w:szCs w:val="28"/>
              </w:rPr>
            </w:pPr>
            <w:r w:rsidRPr="00223895">
              <w:rPr>
                <w:rFonts w:ascii="Times New Roman" w:hAnsi="Times New Roman" w:cs="Times New Roman"/>
                <w:sz w:val="28"/>
                <w:szCs w:val="28"/>
              </w:rPr>
              <w:t>Среднемесячная заработная плата 1 работающего, руб.</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10800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12420</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14283</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16425</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18068</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19875</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21862</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24049</w:t>
            </w:r>
          </w:p>
        </w:tc>
        <w:tc>
          <w:tcPr>
            <w:tcW w:w="907"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26453</w:t>
            </w:r>
          </w:p>
        </w:tc>
        <w:tc>
          <w:tcPr>
            <w:tcW w:w="1020" w:type="dxa"/>
          </w:tcPr>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75474</w:t>
            </w:r>
          </w:p>
        </w:tc>
      </w:tr>
    </w:tbl>
    <w:p w:rsidR="00452847" w:rsidRDefault="00452847">
      <w:pPr>
        <w:pStyle w:val="ConsPlusNormal"/>
        <w:sectPr w:rsidR="00452847">
          <w:pgSz w:w="16838" w:h="11905" w:orient="landscape"/>
          <w:pgMar w:top="1701" w:right="1134" w:bottom="850" w:left="1134" w:header="0" w:footer="0" w:gutter="0"/>
          <w:cols w:space="720"/>
          <w:titlePg/>
        </w:sectPr>
      </w:pPr>
    </w:p>
    <w:p w:rsidR="00452847" w:rsidRDefault="00452847">
      <w:pPr>
        <w:pStyle w:val="ConsPlusNormal"/>
        <w:jc w:val="both"/>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Около 20 потенциальных резидентов уже приняли решение разместить производство на территории ОЭЗ промышленно-производственного типа "Липецк":</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теплообменного оборудования;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биоэтанола;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фракционированию человеческой плазмы крови;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систем вакуумной укупорки;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канцтоваров и офисных принадлежностей;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компонентов для полиуретановых систем;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стеклянной посуды;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строительных конструкций, сэндвич-панелей;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сельскохозяйственной техники;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телевизоров и изделий из шелка;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бытовой техники.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настоящее время уже сформированы заявки от 10 потенциальных резидентов ОЭЗ. В дополнение к перечисленным выше рассматриваются еще 13 заявок. Ожидается, что к 2009 году количество резидентов достигнет 25, а к 2020 году - 29.</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рамках реализации проекта ОЭЗ предусматривается сокращение ввоза на территорию Российской Федерации продукции, планируемой к выпуску в ОЭЗ. Будут построены заводы по производству:</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сельскохозяйственных машин и оборудования;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белой техники;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электротехнической продукции;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биоэтанола;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сублимированных продуктов питания;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изделий из стекла;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кондитерских изделий;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 производству и сборке телевизоров;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обработке шелкового сырья и производству шелковых изделий.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Дополнительным эффектом от создания ОЭЗ будет: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сокращение импорта продукции;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рост поступления в бюджеты всех уровней дополнительных налогов до 15 млрд. руб. после реализации проекта;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повышение устойчивости бюджета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организация экологически чистых производств;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общее улучшение инвестиционного климата в районе;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увеличение объемов государственной поддержки развития сельского хозяйства, субсидирование лизинга и иных льготных схем закупки сельхозтехники, производимой в ОЭЗ.</w:t>
      </w:r>
    </w:p>
    <w:p w:rsidR="00452847" w:rsidRDefault="00452847">
      <w:pPr>
        <w:pStyle w:val="ConsPlusNormal"/>
        <w:jc w:val="both"/>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7.2. Развитие предприятий сельского хозяйства</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Целью аграрной политики должно стать создание эффективного аграрного сектора, способного обеспечить потребность в основных видах продовольствия и сельскохозяйственного сырья, превратить сельхозтоваропроизводителя в кредитоспособного субъекта, конкурентоспособного и имеющего устойчивую нишу на рынке.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Достижение указанных целей будет осуществляться на основе имеющихся результатов в сельскохозяйственном производстве.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Приоритетными и важнейшими целями развития аграрного сектора являются: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ресурсосбережение во всех отраслях агропромышленного комплекса;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развитие элитного семеноводства, племенного животноводства;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совершенствование кооперации и агропромышленной интеграции;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повышение рентабельности сельского хозяйства;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увеличение урожаев сельскохозяйственных культур;</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увеличение поголовья скота, надоев и привесов;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внедрение новейших технологий ведения хозяйства;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внедрение международных стандартов качества;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уменьшение доли убыточных хозяйств.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Немаловажная роль в достижении указанных целей принадлежит государственной поддержке сельского хозяйства за счет средств федерального и областного бюджетов.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Из федерального бюджета предполагается субсидирование процентной ставки по банковским кредитам на долгосрочной и краткосрочной основе, субсидирование 50% страховых взносов при страховании урожая сельскохозяйственных культур, поддержка элитного семеноводства, племенного дела, финансирование программ "Повышение плодородия почв" и "</w:t>
      </w:r>
      <w:hyperlink r:id="rId49">
        <w:r w:rsidRPr="00223895">
          <w:rPr>
            <w:rFonts w:ascii="Times New Roman" w:hAnsi="Times New Roman" w:cs="Times New Roman"/>
            <w:color w:val="0000FF"/>
            <w:sz w:val="28"/>
            <w:szCs w:val="28"/>
          </w:rPr>
          <w:t>Социальное развитие села</w:t>
        </w:r>
      </w:hyperlink>
      <w:r w:rsidRPr="00223895">
        <w:rPr>
          <w:rFonts w:ascii="Times New Roman" w:hAnsi="Times New Roman" w:cs="Times New Roman"/>
          <w:sz w:val="28"/>
          <w:szCs w:val="28"/>
        </w:rPr>
        <w:t xml:space="preserve"> до 2010 года".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Государственная поддержка из областного бюджета должна осуществляться по следующим направлениям: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субсидирование процентной ставки по банковским кредитам на краткосрочной и долгосрочной основе;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развитие элитного семеноводства;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финансирование мероприятий по коренному улучшению земель, повышению плодородия почв;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компенсация части затрат на приобретение племенных животных, птицы и племенного яйца;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компенсация части затрат на приобретение комбикормов для молочного скотоводства и птицеводства;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выплата субвенций (дотаций) на продукцию животноводства;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компенсация части затрат на страхование сельскохозяйственных культур;</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другие направления, связанные с повышением эффективности работы сельскохозяйственных предприятий.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За счет возвратных средств, полученных от реализации продукции регионального продовольственного фонда, будет осуществляться товарное кредитование.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Наряду со стабилизацией и наращиванием производства в сельском хозяйстве должно быть продолжено проведение финансового оздоровления сельхозпредприятий путем реструктуризации задолженности по платежам в бюджеты всех уровней, государственные внебюджетные фонды, поставщикам и подрядчикам.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 эффективность деятельности хозяйствующих субъектов большое влияние оказывает организация системы сбыта продукции. Важное место в системе рыночной инфраструктуры должна занять биржевая деятельность, которая является наиболее эффективным средством регулирования торговли сельскохозяйственной продукцией.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Важным фактором развития должна стать система страхования сельскохозяйственных культур, осуществляемая с учетом компенсации </w:t>
      </w:r>
      <w:r w:rsidRPr="00223895">
        <w:rPr>
          <w:rFonts w:ascii="Times New Roman" w:hAnsi="Times New Roman" w:cs="Times New Roman"/>
          <w:sz w:val="28"/>
          <w:szCs w:val="28"/>
        </w:rPr>
        <w:lastRenderedPageBreak/>
        <w:t>страховых взносов в размере 25% из областного бюджета.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Большое внимание необходимо уделять кадровому обеспечению агропромышленного комплекса, совершенствованию системы подготовки, переподготовки и повышению квалификации работников, улучшению социального положения сельского населения.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растениеводстве должно обеспечиваться дальнейшее наращивание производства продукции путем: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совершенствования структуры посевных площадей на основе повышения удельного веса озимых, восстановления посевов зернобобовых культур, увеличения посевов сахарной свеклы, оптимизации площадей подсолнечника, кормовых культур;</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обеспечения обновления машинно-тракторного парка с использованием техники нового поколения отечественного и зарубежного производства;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перехода на энерго- и ресурсосберегающие технологии возделывания сельскохозяйственных культур;</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совершенствования системы семеноводства сельскохозяйственных культур и эффективного использования селекционных достижений;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осуществления комплекса мероприятий по обеспечению устойчивого производства качественной продовольственной пшеницы;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обеспечения возврата в оборот неиспользуемых пахотных земель;</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эффективности мероприятий по защите растений от сорняков, вредителей и болезней.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Переход на новые технологии выращивания зерновых культур позволит, отказавшись от массового применения вспашки почвы, в 2 раза снизить количество выполняемых технологических операций, на 30 - 40% - энергозатраты, удельный вес которых составляет 60 - 80% от общего объема затрат в растениеводстве.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Применение современных технологий в сочетании с использованием средств химизации (удобрений, пестицидов) в научно обоснованных объемах и внедрением селекционных достижений к 2008 году позволит увеличить валовые сборы зерновых по сравнению с достигнутым уровнем до 30%.</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Наращивание объемов производства сахарной свеклы должно быть обеспечено за счет внедрения эффективной технологии с использованием научно обоснованных севооборотов, высокопродуктивных сортов и гибридов сахарной свеклы, высокопроизводительной современной техники, необходимого количества удобрений и средств защиты растений, </w:t>
      </w:r>
      <w:r w:rsidRPr="00223895">
        <w:rPr>
          <w:rFonts w:ascii="Times New Roman" w:hAnsi="Times New Roman" w:cs="Times New Roman"/>
          <w:sz w:val="28"/>
          <w:szCs w:val="28"/>
        </w:rPr>
        <w:lastRenderedPageBreak/>
        <w:t>сокращения потерь при уборке и транспортировке сахарной свеклы.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Для обеспечения полной загрузки предприятий свекловичным сырьем в интегрированных хозяйствах необходимо продолжать развитие собственной сырьевой зоны сахарных заводов.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Реализация комплекса данных мероприятий позволит создать и развить инфраструктуру рынка сахарной свеклы, обеспечить эффективное функционирование современного конкурентоспособного производства, повысить его инвестиционную привлекательность.</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Стратегическими задачами развития животноводства должно стать возрождение отрасли на новой технологической основе, совершенствование системы кормопроизводства, улучшение племенной работы, ориентированной на максимальное использование селекционных достижений.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Необходимо проведение мероприятий по реконструкции и техническому перевооружению производственной базы в отраслях животноводства, замене технологического оборудования с учетом прогрессивных достижений, восстановлению поголовья скота и птицы, наращиванию объемов производства.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Основные направления - рост продуктивности скота за счет улучшения кормопроизводства, повышения генетического потенциала и племенной работы.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Высокоразвитое зерновое производство в районе создаст благоприятные условия для развития свиноводства. Стабилизация и развитие отрасли свиноводства будет осуществляться на основе восстановления и совершенствования производственно-технического потенциала специализированных комплексов.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Развитие крестьянско-фермерских хозяйств будет осуществляться путем повышения эффективности производства, укрепления материальной базы и увеличения их доли в общем объеме производства.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качестве основного инструмента государственной поддержки крестьянско-фермерских хозяйств должно быть использовано продолжение субсидирования процентной ставки по банковским кредитам, привлеченным на сельскохозяйственное производство, выделение средств на хозяйственное обзаведение семьям, переселившимся в сельскую местность для создания крестьянско-фермерских хозяйств, а также компенсация части затрат на строительство животноводческих помещений.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Дальнейшее развитие личных подсобных хозяйств будет осуществляться в рамках выполнения мероприятий </w:t>
      </w:r>
      <w:hyperlink r:id="rId50">
        <w:r w:rsidRPr="00223895">
          <w:rPr>
            <w:rFonts w:ascii="Times New Roman" w:hAnsi="Times New Roman" w:cs="Times New Roman"/>
            <w:color w:val="0000FF"/>
            <w:sz w:val="28"/>
            <w:szCs w:val="28"/>
          </w:rPr>
          <w:t>программы</w:t>
        </w:r>
      </w:hyperlink>
      <w:r w:rsidRPr="00223895">
        <w:rPr>
          <w:rFonts w:ascii="Times New Roman" w:hAnsi="Times New Roman" w:cs="Times New Roman"/>
          <w:sz w:val="28"/>
          <w:szCs w:val="28"/>
        </w:rPr>
        <w:t xml:space="preserve"> "Сельское подворье Липецкой области".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Кроме того, эффективная реализация национального проекта "Развитие агропромышленного комплекса", осуществляющаяся по трем основным направлениям: "Ускоренное развитие животноводства", "Развитие малых форм хозяйствования", "Обеспечение доступным жильем молодых специалистов на селе", должна стать приоритетным направлением развития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Реализация всех намеченных мероприятий обеспечит ежегодный прирост продукции сельского хозяйства.</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7.3. Улучшение демографической ситуации в районе и развитие высококвалифицированных кадровых ресурсов</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Основными целями демографической политики на долгосрочную перспективу должны стать:</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повышение уровня рождаемости;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уменьшение младенческой смертности и смертности в трудоспособном возрасте;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укрепление института семьи и брака;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достаточного миграционного прироста.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Развитие данных направлений должно базироваться на следующих областных программах: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1">
        <w:r w:rsidRPr="00223895">
          <w:rPr>
            <w:rFonts w:ascii="Times New Roman" w:hAnsi="Times New Roman" w:cs="Times New Roman"/>
            <w:color w:val="0000FF"/>
            <w:sz w:val="28"/>
            <w:szCs w:val="28"/>
          </w:rPr>
          <w:t>Население Липецкой области</w:t>
        </w:r>
      </w:hyperlink>
      <w:r w:rsidRPr="00223895">
        <w:rPr>
          <w:rFonts w:ascii="Times New Roman" w:hAnsi="Times New Roman" w:cs="Times New Roman"/>
          <w:sz w:val="28"/>
          <w:szCs w:val="28"/>
        </w:rPr>
        <w:t>: стратегия народосбережения (2006 - 2010 годы)";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2">
        <w:r w:rsidRPr="00223895">
          <w:rPr>
            <w:rFonts w:ascii="Times New Roman" w:hAnsi="Times New Roman" w:cs="Times New Roman"/>
            <w:color w:val="0000FF"/>
            <w:sz w:val="28"/>
            <w:szCs w:val="28"/>
          </w:rPr>
          <w:t>О дополнительных мерах</w:t>
        </w:r>
      </w:hyperlink>
      <w:r w:rsidRPr="00223895">
        <w:rPr>
          <w:rFonts w:ascii="Times New Roman" w:hAnsi="Times New Roman" w:cs="Times New Roman"/>
          <w:sz w:val="28"/>
          <w:szCs w:val="28"/>
        </w:rPr>
        <w:t xml:space="preserve"> по социальной поддержке многодетных семей";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3">
        <w:r w:rsidRPr="00223895">
          <w:rPr>
            <w:rFonts w:ascii="Times New Roman" w:hAnsi="Times New Roman" w:cs="Times New Roman"/>
            <w:color w:val="0000FF"/>
            <w:sz w:val="28"/>
            <w:szCs w:val="28"/>
          </w:rPr>
          <w:t>Молодая семья</w:t>
        </w:r>
      </w:hyperlink>
      <w:r w:rsidRPr="00223895">
        <w:rPr>
          <w:rFonts w:ascii="Times New Roman" w:hAnsi="Times New Roman" w:cs="Times New Roman"/>
          <w:sz w:val="28"/>
          <w:szCs w:val="28"/>
        </w:rPr>
        <w:t xml:space="preserve"> (2005 - 2010 годы)";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4">
        <w:r w:rsidRPr="00223895">
          <w:rPr>
            <w:rFonts w:ascii="Times New Roman" w:hAnsi="Times New Roman" w:cs="Times New Roman"/>
            <w:color w:val="0000FF"/>
            <w:sz w:val="28"/>
            <w:szCs w:val="28"/>
          </w:rPr>
          <w:t>О состоянии трудовых ресурсов</w:t>
        </w:r>
      </w:hyperlink>
      <w:r w:rsidRPr="00223895">
        <w:rPr>
          <w:rFonts w:ascii="Times New Roman" w:hAnsi="Times New Roman" w:cs="Times New Roman"/>
          <w:sz w:val="28"/>
          <w:szCs w:val="28"/>
        </w:rPr>
        <w:t xml:space="preserve"> и мерах по развитию кадрового потенциала области".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Направления работы должны строиться в соответствии с </w:t>
      </w:r>
      <w:hyperlink r:id="rId55">
        <w:r w:rsidRPr="00223895">
          <w:rPr>
            <w:rFonts w:ascii="Times New Roman" w:hAnsi="Times New Roman" w:cs="Times New Roman"/>
            <w:color w:val="0000FF"/>
            <w:sz w:val="28"/>
            <w:szCs w:val="28"/>
          </w:rPr>
          <w:t>Концепцией</w:t>
        </w:r>
      </w:hyperlink>
      <w:r w:rsidRPr="00223895">
        <w:rPr>
          <w:rFonts w:ascii="Times New Roman" w:hAnsi="Times New Roman" w:cs="Times New Roman"/>
          <w:sz w:val="28"/>
          <w:szCs w:val="28"/>
        </w:rPr>
        <w:t xml:space="preserve"> демографической политики Липецкой области на период до 2015 года, основные из них: повышение рождаемости и укрепление семьи, снижение смертности и увеличение продолжительности жизни, оптимизация миграционных процессов.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целях защиты материнства и детства, укрепления статуса семьи и улучшения демографической ситуации предстоит сосредоточить внимание и имеющиеся ресурсы на выполнении мероприятий по реализации районных комплексных программ.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В рамках программ "Дети-сироты" и "Здоровый ребенок" основное внимание необходимо будет уделить постинтернатной поддержке детей-сирот и детей, оставшихся без попечения родителей: обеспечению их жильем, оказанию адресной помощи при вступлении в брак, рождении детей.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В </w:t>
      </w:r>
      <w:hyperlink r:id="rId56">
        <w:r w:rsidRPr="00223895">
          <w:rPr>
            <w:rFonts w:ascii="Times New Roman" w:hAnsi="Times New Roman" w:cs="Times New Roman"/>
            <w:color w:val="0000FF"/>
            <w:sz w:val="28"/>
            <w:szCs w:val="28"/>
          </w:rPr>
          <w:t>программе</w:t>
        </w:r>
      </w:hyperlink>
      <w:r w:rsidRPr="00223895">
        <w:rPr>
          <w:rFonts w:ascii="Times New Roman" w:hAnsi="Times New Roman" w:cs="Times New Roman"/>
          <w:sz w:val="28"/>
          <w:szCs w:val="28"/>
        </w:rPr>
        <w:t xml:space="preserve"> "Безопасное материнство" необходима разработка дополнительных мер по охране репродуктивного здоровья населения и обеспечению безопасного материнства, направленных на снижение уровня материнской и младенческой заболеваемости и смертности, а также поддержка беременных и кормящих женщин, внедрение прогрессивных технологий для организации медицинской помощи матерям и детям, укрепление материально-технической базы учреждений акушерско-гинекологической и педиатрической служб.</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По программе "Развитие индустрии детского питания" необходимо предусмотреть развитие материально-технической базы производства продуктов детского питания через оснащение детских молочных кухонь современным оборудованием и расширение ассортимента продуктов детского питания.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Мероприятия программы "Большая семья" позволят сохранить социальные гарантии детям из многодетных семей: бесплатное содержание детей в детских дошкольных учреждениях, бесплатное обучение в художественных, музыкальных школах и школах искусств, приобретение транспорта, дифференцированную оплату за пользование коммунальными услугами.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Основное внимание в программе "Дети семей беженцев и вынужденных переселенцев" должно быть направлено на социальную поддержку семей беженцев и вынужденных переселенцев, имеющих несовершеннолетних детей, улучшение жилищных условий, организацию отдыха и оздоровления детей из этих семей.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При реализации развития кадрового потенциала приоритетными должны стать следующие задачи: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соответствующими кадрами потребностей особой экономической зоны производственно-промышленного типа;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кадрового потенциала;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повышение степени взаимодействия со специализированными учебными заведениями с целью повышения уровня подготовки персонала;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благоприятных условий для миграционного прироста населения;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целевого обучения будущих кадров.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Развитие данных направлений должно проходить в соответствии со следующими областными программами: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7">
        <w:r w:rsidRPr="00223895">
          <w:rPr>
            <w:rFonts w:ascii="Times New Roman" w:hAnsi="Times New Roman" w:cs="Times New Roman"/>
            <w:color w:val="0000FF"/>
            <w:sz w:val="28"/>
            <w:szCs w:val="28"/>
          </w:rPr>
          <w:t>О состоянии трудовых ресурсов</w:t>
        </w:r>
      </w:hyperlink>
      <w:r w:rsidRPr="00223895">
        <w:rPr>
          <w:rFonts w:ascii="Times New Roman" w:hAnsi="Times New Roman" w:cs="Times New Roman"/>
          <w:sz w:val="28"/>
          <w:szCs w:val="28"/>
        </w:rPr>
        <w:t xml:space="preserve"> и мерах по развитию кадрового потенциала области";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8">
        <w:r w:rsidRPr="00223895">
          <w:rPr>
            <w:rFonts w:ascii="Times New Roman" w:hAnsi="Times New Roman" w:cs="Times New Roman"/>
            <w:color w:val="0000FF"/>
            <w:sz w:val="28"/>
            <w:szCs w:val="28"/>
          </w:rPr>
          <w:t>Развитие системы подготовки специалистов</w:t>
        </w:r>
      </w:hyperlink>
      <w:r w:rsidRPr="00223895">
        <w:rPr>
          <w:rFonts w:ascii="Times New Roman" w:hAnsi="Times New Roman" w:cs="Times New Roman"/>
          <w:sz w:val="28"/>
          <w:szCs w:val="28"/>
        </w:rPr>
        <w:t xml:space="preserve"> с высшим и средним медицинским и фармацевтическим образованием Липецкой области на 2006 - 2010 годы";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w:t>
      </w:r>
      <w:hyperlink r:id="rId59">
        <w:r w:rsidRPr="00223895">
          <w:rPr>
            <w:rFonts w:ascii="Times New Roman" w:hAnsi="Times New Roman" w:cs="Times New Roman"/>
            <w:color w:val="0000FF"/>
            <w:sz w:val="28"/>
            <w:szCs w:val="28"/>
          </w:rPr>
          <w:t>Развитие системы подготовки кадров</w:t>
        </w:r>
      </w:hyperlink>
      <w:r w:rsidRPr="00223895">
        <w:rPr>
          <w:rFonts w:ascii="Times New Roman" w:hAnsi="Times New Roman" w:cs="Times New Roman"/>
          <w:sz w:val="28"/>
          <w:szCs w:val="28"/>
        </w:rPr>
        <w:t xml:space="preserve"> для предприятий промышленности Липецкой области на 2005 - 2010 годы".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Развитие кадрового потенциала района должно следовать следующим направлениям: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1. Снижение потребности в дефицитных специальностях за счет целевой подготовки кадров.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2. Создание новых рабочих мест.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3. Подготовка собственных и привлечение профессиональных кадров из других населенных пунктов.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4. Эффективное использование трудовых ресурсов.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5. Улучшение условий оплаты труда. Совершенствование системы переподготовки востребованных специалистов для предприятий района. Создание условий для закрепления квалифицированных кадров на территории района (рост заработной платы, помощь с обеспечением жильем), исключение "утечки" квалифицированных кадров в другие населенные пункты, регионы.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6. Обеспечение своевременной переподготовки и повышения квалификации работников для удовлетворения потребности производств, внедряющих новейшие технологии.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7. Создание на территории района профессиональных образовательных учреждений, адаптированных к новым требованиям в области подготовки профильных специалистов.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Реализация областных и районных целевых программ позволит улучшить демографическую ситуацию и позволит создать высококвалифицированный кадровый потенциал в районе.</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7.4. Повышение уровня жизни населения</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Повышение уровня жизни населения направлено на достижение следующих целей: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 обеспечение высокого качества предоставляемых медицинских, жилищно-коммунальных, развлекательных и др. услуг;</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увеличение уровня заработной платы;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населения комфортным и доступным жильем;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благоприятных условий для миграционного прироста населения;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уменьшение доли бедного населения.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Развитие высокорентабельного сельского хозяйства, строительство новых предприятий в рамках ОЭЗ "Липецк" должно способствовать не только созданию конкурентного рынка труда, но и стимулировать повышение средней заработной платы в районе. Увеличение уровня заработной платы будет сопровождаться увеличением спроса на дополнительные услуги.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Приоритетной задачей должно стать повышение качества предоставляемых услуг населению.</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сфере медицины необходимы: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1. Повышение уровня социальной защищенности медицинских работников.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2. Повышение эффективности использования средств в рамках реализации национального проекта "Здоровье".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3. Дальнейшее укрепление материально-технической базы медицинских учреждений.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4. Работа по развитию стационарозамещающих технологий.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5. Совершенствование системы обязательного и добровольного медицинского страхования. Дальнейшее развитие единой методики формирования тарифов на медицинские услуги.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6. Разработка и совершенствование программ по управлению качеством медицинской помощи, реформированию и развитию скорой и неотложной медицинской помощи.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7. Внедрение современных технологий в сфере профилактики, диагностики, лечения и реабилитации социально значимых заболеваний.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8. Профессиональная подготовка и переподготовка кадров здравоохранения, в т.ч. целевая подготовка молодых специалистов.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9. Развитие стандартизации с последовательным внедрением принципов доказательной медицины, формирование организационной структуры </w:t>
      </w:r>
      <w:r w:rsidRPr="00223895">
        <w:rPr>
          <w:rFonts w:ascii="Times New Roman" w:hAnsi="Times New Roman" w:cs="Times New Roman"/>
          <w:sz w:val="28"/>
          <w:szCs w:val="28"/>
        </w:rPr>
        <w:lastRenderedPageBreak/>
        <w:t>системы управления качеством в здравоохранении.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Кроме того, необходимо сохранить тенденцию совершенствования системы обязательного медицинского страхования, направленного 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государственных гарантий оказания гражданам бесплатной медицинской помощи;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повышение ответственности медицинских организаций за качество оказываемой медицинской помощи;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усиление государственного контроля за целевым и рациональным использованием средств обязательного медицинского страхования.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сфере жилищно-коммунального хозяйства необходимо решение следующих задач:</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1. Содействие созданию ТСЖ.</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2. Привлечение средств предприятий и населения для проведения работ по благоустройству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3. Дальнейшая реализация программ по совершенствованию и развитию услуг ЖКХ.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4. Расширение сферы услуг ЖКХ.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5. Осуществление ремонта инфраструктурных объектов ЖКХ.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6. Проведение централизованного водоснабжения и газификации всех населенных пунктов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7. Решение вопроса водоснабжения качественной питьевой водой.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8. Сохранение действующей системы льгот по оплате жилищно-коммунальных услуг для социально незащищенных категорий граждан.</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9. Проведение мероприятий по энерго- и ресурсосбережению, формирование четкой и последовательной системы ценообразования и тарифного регулирования.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10. Ликвидация (реструктуризация) имеющейся задолженности перед предприятиями ЖКХ.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Важнейшим направлением в повышении уровня жизни населения должно стать строительство доступного и комфортного жилья. Важным остается повысить степень информированности населения о программах помощи в строительстве жилья.</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7.5. Развитие предприятий промышленности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Основными направлениями и приоритетными задачами в промышленности являются обеспечение устойчивых темпов роста производства товаров и услуг, повышение конкурентоспособности продукции, внедрение в производство новых технологий с помощью вложения масштабных инвестиций в основной капитал.</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Одним из условий ускоренного развития промышленного комплекса является интенсификация инновационных процессов.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Особое внимание необходимо уделить созданию условий повышения производительности труда, выпуску конкурентоспособной продукции, повышению инвестиционной привлекательности.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связи с этим будет продолжена реализация программы реформирования и финансового оздоровления промышленных предприятий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рамках концепции создания промышленно-производственной зоны будут созданы предприятия-спутники по выпуску комплектующих для предприятий по выпуску холодильников, стиральных машин.</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Преодоление кризиса промышленного развития должно идти по пути: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степени научной обоснованности принимаемых управленческих решений;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степени контроля за реализацией оперативных планов, бизнес-планов;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привлечения квалифицированных специалистов по маркетингу, финансам и др.;</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квалификации работников промышленных предприятий;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модернизации оборудования, внедрения ресурсосберегающих технологий, экологизации производственного процесса;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степени и эффективности использования производственных мощностей;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внедрения высоких стандартов качества, повышения степени использования маркетинговых исследований спроса потребителей, методов продвижения продукции и т.п.;</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стимулирования своевременного внедрения инновационных технологий в производственные процессы;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привлечения реальных инвестиций с целью развития предприятия;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темпов структурных преобразований.</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7.6. Усиление роли бюджетных и налоговых отношений в экономических процессах в муниципальных образованиях</w:t>
      </w: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(введен </w:t>
      </w:r>
      <w:hyperlink r:id="rId60">
        <w:r w:rsidRPr="00223895">
          <w:rPr>
            <w:rFonts w:ascii="Times New Roman" w:hAnsi="Times New Roman" w:cs="Times New Roman"/>
            <w:color w:val="0000FF"/>
            <w:sz w:val="28"/>
            <w:szCs w:val="28"/>
          </w:rPr>
          <w:t>решением</w:t>
        </w:r>
      </w:hyperlink>
      <w:r w:rsidRPr="00223895">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Усиление роли бюджетных и налоговых отношений в экономических процессах в муниципальных образованиях предусматривает обеспечение полноты сбора налогов, эффективное их расходование и справедливое межбюджетное распределение, повышение заинтересованности органов власти всех уровней в увеличении производственного и налогового потенциала территории.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Выполнение поставленной цели возможно следующим образом: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По доходам путем: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расширения налогооблагаемой базы за счет развития малого бизнеса, инвентаризации и постановки на учет земельных участков, легализации заработной платы;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сокращения недоимки во все уровни бюджетов за счет ужесточения налоговой дисциплины и усиления мер налогового администрирования;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совершенствования налогового законодательства по местным налогам.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По расходам путем: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проведения мониторинга и анализа затрат организаций бюджетной сферы;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внедрения системы учета и анализа объема предоставляемых услуг учреждениями бюджетной сферы.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По межбюджетным отношениям за счет: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эффективности функционирования бюджетной системы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сокращения количества дотационных муниципальных образований и величины дотаций;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повышения обоснованности выделения бюджетных средств и контроля за их целевым использованием;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использования способов совместного финансирования отдельных программ и проектов за счет средств бюджетов всех уровней.</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7.7. Развитие производительных сил Грязинского района. Потенциал района</w:t>
      </w: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 xml:space="preserve">(введен </w:t>
      </w:r>
      <w:hyperlink r:id="rId61">
        <w:r w:rsidRPr="00223895">
          <w:rPr>
            <w:rFonts w:ascii="Times New Roman" w:hAnsi="Times New Roman" w:cs="Times New Roman"/>
            <w:color w:val="0000FF"/>
            <w:sz w:val="28"/>
            <w:szCs w:val="28"/>
          </w:rPr>
          <w:t>решением</w:t>
        </w:r>
      </w:hyperlink>
      <w:r w:rsidRPr="00223895">
        <w:rPr>
          <w:rFonts w:ascii="Times New Roman" w:hAnsi="Times New Roman" w:cs="Times New Roman"/>
          <w:sz w:val="28"/>
          <w:szCs w:val="28"/>
        </w:rPr>
        <w:t xml:space="preserve"> Совета депутатов Грязинского муниципального района Липецкой обл. от 23.03.2010 N 193)</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Грязинский район характеризуется выгодным географическим положением и значительным потенциалом (природно-ресурсным, производственным, трудовым, инфраструктурным, историко-культурным) (</w:t>
      </w:r>
      <w:hyperlink w:anchor="P2930">
        <w:r w:rsidRPr="00223895">
          <w:rPr>
            <w:rFonts w:ascii="Times New Roman" w:hAnsi="Times New Roman" w:cs="Times New Roman"/>
            <w:color w:val="0000FF"/>
            <w:sz w:val="28"/>
            <w:szCs w:val="28"/>
          </w:rPr>
          <w:t>приложения N 4</w:t>
        </w:r>
      </w:hyperlink>
      <w:r w:rsidRPr="00223895">
        <w:rPr>
          <w:rFonts w:ascii="Times New Roman" w:hAnsi="Times New Roman" w:cs="Times New Roman"/>
          <w:sz w:val="28"/>
          <w:szCs w:val="28"/>
        </w:rPr>
        <w:t xml:space="preserve">, </w:t>
      </w:r>
      <w:hyperlink w:anchor="P2967">
        <w:r w:rsidRPr="00223895">
          <w:rPr>
            <w:rFonts w:ascii="Times New Roman" w:hAnsi="Times New Roman" w:cs="Times New Roman"/>
            <w:color w:val="0000FF"/>
            <w:sz w:val="28"/>
            <w:szCs w:val="28"/>
          </w:rPr>
          <w:t>5</w:t>
        </w:r>
      </w:hyperlink>
      <w:r w:rsidRPr="00223895">
        <w:rPr>
          <w:rFonts w:ascii="Times New Roman" w:hAnsi="Times New Roman" w:cs="Times New Roman"/>
          <w:sz w:val="28"/>
          <w:szCs w:val="28"/>
        </w:rPr>
        <w:t>).</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Грязинский муниципальный район расположен в восточной части Липецкой области и граничит с Тамбовской областью, Добринским, Усманским, Липецким, Добровским районами. На территории района протекают реки Воронеж, Матыра, Байгора, расположено крупнейшее в области Матырское водохранилище.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 территории района расположено 60 населенных пунктов, 16 сельских администраций, 1 город.</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Основная часть населения района - 72,9 тыс. чел., или 64% проживает в городе Грязи, 26,5 тыс. чел. - в сельских поселениях. Из 16 сельских поселений района наиболее крупными являются Плехановское (3 тыс. чел.), Казинское (2,9 тыс. чел.), Большесамовецкое (2,7 тыс. чел.), Петровское (2,5 тыс. чел.), Княжебайгорское (2,1 тыс. чел.), Кузовское (1,8 тыс. чел.) и Ярлуковское (1,8 тыс. чел.).</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Общая площадь пашни составляет свыше 63 тысяч гектаров, земель фонда перераспределения - 1,3 тыс. гектаров. Есть возможность выделения 30 гектаров под инвестиционные площадки.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районе имеются месторождения строительных материалов, силикатного песка, глины, песчаника, известняка, доломита, торфа, различных минерально-сырьевых ресурсов. Часть территории района входит в состав Липецкого месторождения железных руд.</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Район располагает значительным запасом питьевой воды высокого качества.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Площадь лесов составляет около 19 тысяч гектаров, имеется 15 водных объектов (прудов).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Развитая транспортная инфраструктура (94% автодорог с твердым покрытием, наличие крупного железнодорожного узла) создает благоприятные условия для развития агропромышленного комплекса, налаживания логистических связей с другими регионами.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Трудовые ресурсы района (44,3 тыс. чел.) составляют 61% от общей численности населения. Из общей численности трудовых ресурсов занято в экономике района 33,9 тыс. чел. (76,3%), обучаются с отрывом от производства - 2,3 тыс. чел. (5,2%), работают за пределами района - 5,5 тыс. </w:t>
      </w:r>
      <w:r w:rsidRPr="00223895">
        <w:rPr>
          <w:rFonts w:ascii="Times New Roman" w:hAnsi="Times New Roman" w:cs="Times New Roman"/>
          <w:sz w:val="28"/>
          <w:szCs w:val="28"/>
        </w:rPr>
        <w:lastRenderedPageBreak/>
        <w:t>чел. (12%), не занято в экономике района - 2,8 тыс. чел. (6,4).</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Не используется в экономике района всего свыше 33,3 тыс. кв. м помещений, в т.ч. 2,7 тыс. кв. м - животноводческих, 1,4 тыс. кв. м - торговых и 26,7 тыс. кв. м - производственных </w:t>
      </w:r>
      <w:hyperlink w:anchor="P3001">
        <w:r w:rsidRPr="00223895">
          <w:rPr>
            <w:rFonts w:ascii="Times New Roman" w:hAnsi="Times New Roman" w:cs="Times New Roman"/>
            <w:color w:val="0000FF"/>
            <w:sz w:val="28"/>
            <w:szCs w:val="28"/>
          </w:rPr>
          <w:t>(приложение N 6)</w:t>
        </w:r>
      </w:hyperlink>
      <w:r w:rsidRPr="00223895">
        <w:rPr>
          <w:rFonts w:ascii="Times New Roman" w:hAnsi="Times New Roman" w:cs="Times New Roman"/>
          <w:sz w:val="28"/>
          <w:szCs w:val="28"/>
        </w:rPr>
        <w:t>.</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Основу экономического потенциала района составляет промышленный комплекс. Промышленный комплекс района состоит из 17 предприятий и представлен двумя отраслями - машиностроительной, пищевой и перерабатывающей промышленностью.</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Крупнейшие предприятия: "ООО ЧСЗ "Липецк", ОАО "Культиваторный завод", ЗАО "Сахарный завод", ОАО "Гидравлик", филиал ОАО "Липецкхлебмакаронпром" Грязинский хлебозавод, ОАО "Машиностроительный завод", Грязинский контейнерный завод, ОАО "Грязинский пищевой комбинат", ООО "Липецкий пищевой комбинат", ООО МПК "Чернышевой".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К промышленно ориентированным территориям относятся г. Грязи, Казинское, Карамышевское, Ярлуковское поселения.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экономике г. Грязи значительное место принадлежит машиностроительной промышленности, пищевой и перерабатывающей, Казинского, Карамышевского, Ярлуковского поселений - пищевой и перерабатывающей промышленности.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Производством сельскохозяйственной продукции занимаются 11 крупных и средних предприятий, 91 крестьянско-фермерское хозяйство и 22 индивидуальных предпринимателя.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Одно из приоритетных направлений сельского хозяйства - производство зерна и сахарной свеклы, молочное и мясное скотоводство.</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Наиболее развитыми сельскохозяйственными территориями являются Большесамовецкая, Карамышевская, Княжебайгорская, Кузовская. На их территории расположены такие крупные предприятия, как ОАО АПО "Дружба", ООО "Карамышевское", ООО "АФ Настюша-Грязи", ООО "Грязинский агрокомплекс", специализирующиеся на развитии мясо-молочного животноводства, свиноводства, производства зерна и сахарной свеклы.</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 фоне комплексно развивающихся поселений выделяются узко специализированные, где развитие получило лишь растениеводство. Специализация производства на одну отрасль (растениеводство) Телелюйского, Фащевского, Петровского, Бутырского, Коробовского, В. Телелюйского, Плехановского поселений тормозит их развитие.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Слабо развиваются Грязинское, Сошкинское, Двуреченское поселения. Здесь наряду с узким хозяйственным профилем сельхозпредприятий </w:t>
      </w:r>
      <w:r w:rsidRPr="00223895">
        <w:rPr>
          <w:rFonts w:ascii="Times New Roman" w:hAnsi="Times New Roman" w:cs="Times New Roman"/>
          <w:sz w:val="28"/>
          <w:szCs w:val="28"/>
        </w:rPr>
        <w:lastRenderedPageBreak/>
        <w:t>(производство зерна) наблюдается неразвитость животноводства и в ЛПХ.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Территориальное развитие производительных сил.</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Целями развития производительных сил района являются: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динамичного социально-экономического развития;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выравнивание территориальной дифференциации;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обеспечение занятости населения, особенно сельского.</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Задачи развития производительных сил района включают: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привлечение инвесторов в экономику и социальную сферу;</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развитие особой экономической зоны федерального уровня промышленно-производственного типа "Липецк" (далее - ОЭЗ ППТ "Липецк");</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новых и модернизация существующих производств;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восстановление утраченных производств;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вовлечение в экономический оборот потенциала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развитие малого и среднего бизнеса в сельских поселениях.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Предполагается максимально сконцентрировать финансовые, трудовые, административно-управленческие ресурсы в секторах - "точках роста" экономики.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 развитие обрабатывающих производств направлено создание на территории района ОЭЗ ППТ "Липецк", в состав которой войдут: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облегченной стеклянной тары ООО "ЧСЗ "Липецк", объем инвестиций - 4,2 млрд. руб., рабочих мест - 645;</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испарителей и конденсаторов холодильного оборудования для предприятий торговли, объем инвестиций - 5 млрд. руб.;</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высококачественного металлокорда и бортовой проволоки для шинной промышленности, объем инвестиций - 3782 млн. руб., 250 рабочих мест;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конкурентоспособной импортозамещающей продукции - энергоблоков, модульных котельных, трубопроводной арматуры с применением инновационного технологического оборудования, объем инвестиций 1,8 млрд. руб., рабочих мест - 550;</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современных алюминиевых профилей, объем инвестиций - 370 млн. руб., 40 рабочих мест;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 завод по производству металлоконструкций и сэндвич-панелей, объем инвестиций - 1,3 млрд. руб., рабочих мест - 350;</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современных высококачественных уплотнителей для стекольной продукции, объем инвестиций - 550 млн. руб., рабочих мест - 50;</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завод по производству изделий из стекла, объем инвестиций - 1,8 млрд. руб., рабочих мест - 150.</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перспективе планируется привлечь около 50 резидентов с объемом инвестиций более 150 млрд. руб. и созданием 14000 рабочих мест.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Создание "точек роста" промышленно-производственного типа на территории Грязинского района будет иметь мультипликативный эффект, так как с развитием ОЭЗ ППТ "Липецк" будут активизироваться все формы хозяйственной деятельности (строительство, логистика, торгово-ярмарочная деятельность, гостиничный бизнес и др.), модернизироваться и создаваться новые рабочие места на территории района. Через развитие производственно-технологических связей, поставок комплектующих получит развитие межмуниципальная кооперация.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 агропромышленном комплексе предусматривается ускоренное развитие: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свиноводства - реконструкция животноводческих помещений на 2 тыс. голов, объем инвестиций составит 5 млн. руб. в поселении Кузовский сельский Совет;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мясного скотоводства - реконструкция животноводческих помещений на 400 голов, объем инвестиций - 20 млн. руб. в поселении Кузовский сельский совет; реконструкция животноводческих помещений на 1200 гол., объем инвестиций - 300 млн. руб. в Карамышевском поселении;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растениеводства - реконструкция цеха по переработке овощей в с. Ярлуково, строительство линии по производству чипсов в с. Песковатка, строительство элеватора зернохранилища, реконструкция элеватора ООО "Суфле Агро-Рус", реконструкция хлебной базы ООО "Зерос" в городском поселении г. Грязи, строительство производственных помещений ООО "Зерноток" с. Красная Дубрава в поселении Телелюйского сельского Совета, внедрение новых ресурсовлагосберегающих технологий, приобретение новейшей сельскохозяйственной техники;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перерабатывающей промышленности - строительство завода по производству крахмалопродуктов из кукурузы, объем инвестиций - 350 млн. руб., строительство линии по производству сухого жома в городском поселении г. Грязи, строительство комбикормового завода ООО "Липецкптица" в сельском поселении Казинский сельсовет.</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Кроме того, получит поддержку развитие малых форм хозяйствования в агропромышленном комплексе.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Для развития новых производств предусматривается использовать такой резерв развития производительных сил, как неиспользуемые помещения (производственные, животноводческие, торговые, складские и т.д.), что позволит разместить новые предприятия на имеющихся площадях с минимальными затратами практически во всех сельских поселениях </w:t>
      </w:r>
      <w:hyperlink w:anchor="P3001">
        <w:r w:rsidRPr="00223895">
          <w:rPr>
            <w:rFonts w:ascii="Times New Roman" w:hAnsi="Times New Roman" w:cs="Times New Roman"/>
            <w:color w:val="0000FF"/>
            <w:sz w:val="28"/>
            <w:szCs w:val="28"/>
          </w:rPr>
          <w:t>(приложение N 6)</w:t>
        </w:r>
      </w:hyperlink>
      <w:r w:rsidRPr="00223895">
        <w:rPr>
          <w:rFonts w:ascii="Times New Roman" w:hAnsi="Times New Roman" w:cs="Times New Roman"/>
          <w:sz w:val="28"/>
          <w:szCs w:val="28"/>
        </w:rPr>
        <w:t>.</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Стратегическое развитие поселений района связано прежде всего с использованием потенциала их развития, привлечением инвестиций, развитием малого бизнеса.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"Точкой роста" Грязинского района будет ОЭЗ ППТ "Липецк". Кроме того, имеющийся потенциал обуславливает целесообразность реконструкции мясокомбината (ООО "Мясокомбинат Грязинский") в городском поселении г. Грязи, строительства цеха по убою скота в сельском поселении Казинского сельского Совета, организации зимних теплиц.</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Во всех сельских поселениях возможна реализация перспективных инвестиционных проектов: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создание семейных животноводческих ферм;</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развитие тепличного хозяйства;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выращивание овощей открытого грунта, картофеля, в т.ч. для производства чипсов;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производство плодоовощных консервов, грибов и грибницы, меда и изделий на его основе;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выращивание цветочной рассады, саженцев декоративных культур;</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засолка и квашение овощей, грибов;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 организация семейного отдыха и сельского туризма </w:t>
      </w:r>
      <w:hyperlink w:anchor="P2967">
        <w:r w:rsidRPr="00223895">
          <w:rPr>
            <w:rFonts w:ascii="Times New Roman" w:hAnsi="Times New Roman" w:cs="Times New Roman"/>
            <w:color w:val="0000FF"/>
            <w:sz w:val="28"/>
            <w:szCs w:val="28"/>
          </w:rPr>
          <w:t>(приложение N 5)</w:t>
        </w:r>
      </w:hyperlink>
      <w:r w:rsidRPr="00223895">
        <w:rPr>
          <w:rFonts w:ascii="Times New Roman" w:hAnsi="Times New Roman" w:cs="Times New Roman"/>
          <w:sz w:val="28"/>
          <w:szCs w:val="28"/>
        </w:rPr>
        <w:t>.</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 территории Грязинского поселения перспективна организация производства картофельных чипсов с последующей реализацией на внутриобластном рынке.</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Предполагается возродить промышленное садоводство в Грязинском и Кузовском поселениях. На территории Ярлуковского поселения планируется возобновить деятельность консервного завода. Это обеспечит переработку овощной продукции, производимой внутри района (производство овощных консервов), а также потребует расширения посевных площадей под овощными культурами.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Реконструкция неиспользуемого помещения маслозавода в городском поселении г. Грязи под организацию цеха по производству молока и молочной продукции (ОАО "Грязинский маслозавод") будет способствовать развитию молочного животноводства, в том числе в КФХ и ЛПХ.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Наличие месторождений пресных подземных вод на территории Ярлуковского, Коробовского, Карамышевского сельсоветов делает перспективным организацию малых предприятий по производству и розливу питьевой воды в данных поселениях. Возобновление производственной деятельности предприятия ООО "Байгора" на территории городского поселения г. Грязи.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Планируется задействовать водные объекты практически во всех поселениях для создания гусиных, утиных ферм, организации спортивного рыболовства, семейного туризма и отдыха.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Предполагается более широкое внедрение механизмов межмуниципальной кооперации.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Так, развитие мясного животноводства во всех сельских поселениях позволит загрузить производственные мощности ООО "МПК "Чернышевой", ООО "МПК "Карамышевский", ООО "Златояр", ООО "Новоказинский пищевой комбинат", ООО "Липецкий пищевой комбинат" и будет способствовать организации новых производств по переработке мяса, молока и увеличению объемов выпускаемой мясо-молочной продукции.</w:t>
      </w:r>
    </w:p>
    <w:p w:rsidR="00452847" w:rsidRPr="00223895" w:rsidRDefault="00452847">
      <w:pPr>
        <w:pStyle w:val="ConsPlusNormal"/>
        <w:spacing w:before="26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Развитие деревообрабатывающих производств в Сошкинском, Карамышевском, Плехановском, Ярлуковском, Петровском, Коробовском обеспечит их сотрудничество с лесничествами Куликовского и Ленинского лесхозов.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Наличие лесных массивов и водных объектов, основным из которых является р. Матыра, обуславливает перспективность развития рекреации на территории района. Наиболее перспективно развитие рекреации на территории Казинского (р. Матыра, археологический памятник древнерусское селище "Митькин Запор", базы отдыха), Коробовского (старинный парк князя Вяземского), Петровского (р. Байгора, база отдыха "Березовая роща").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Развитие в районе современного туристского бизнеса повлечет формирование сопутствующей инфраструктуры и услуг (ресторанный, гостиничный бизнес, автоперевозки, производство сувенирной продукции).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Придорожный сервис (предприятия общественного питания, гостиничного бизнеса, сервисного обслуживания автотранспорта) будет развиваться в Казинском, Плехановском, Ярлуковском поселениях, расположенных вблизи строящейся региональной трассы "Восточный обход промышленной зоны "Липецк", выходящей на федеральную магистраль Орел </w:t>
      </w:r>
      <w:r w:rsidRPr="00223895">
        <w:rPr>
          <w:rFonts w:ascii="Times New Roman" w:hAnsi="Times New Roman" w:cs="Times New Roman"/>
          <w:sz w:val="28"/>
          <w:szCs w:val="28"/>
        </w:rPr>
        <w:lastRenderedPageBreak/>
        <w:t>- Тамбов.</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Формирование новых производств приведет к снижению территориального неравенства и уменьшению диспропорции в развитии поселений района, обеспечению занятости сельского населения.</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1"/>
        <w:rPr>
          <w:rFonts w:ascii="Times New Roman" w:hAnsi="Times New Roman" w:cs="Times New Roman"/>
          <w:sz w:val="28"/>
          <w:szCs w:val="28"/>
        </w:rPr>
      </w:pPr>
      <w:r w:rsidRPr="00223895">
        <w:rPr>
          <w:rFonts w:ascii="Times New Roman" w:hAnsi="Times New Roman" w:cs="Times New Roman"/>
          <w:sz w:val="28"/>
          <w:szCs w:val="28"/>
        </w:rPr>
        <w:t>8. ОРГАНИЗАЦИОННЫЕ СТРУКТУРЫ СТРАТЕГИЧЕСКОГО ПЛАНИРОВАНИЯ</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8.1. Комитет по разработке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Комитет является высшим органом системы стратегического планирования. Он образуется для обсуждения и утверждения всех ключевых решений, связанных с разработкой и реализацией стратегического плана. Комитет формируется из представителей органов районной администрации, предприятий, общественных организаций, заинтересованных в разработке и реализации Стратегии. Члены Комитета, подписывая от имени своих организаций стратегический план, принимают обязательства по его реализации.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Основная задача Комитета - координация и принятие ключевых решений, связанных с разработкой, утверждением и реализацией Стратегии. Членство в Комитете осуществляется на общественных началах.</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Основные функции Комитета: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утверждать основную цель и главные стратегические направления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утверждать Стратегию;</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утверждать отчеты о ходе реализации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принимать решения о необходимости корректировки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принимать и изменять структуру органов стратегического планирования.</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Руководит работой Комитета председатель Комитета, которым по должности является глава администрации района. Заместитель председателя Комитета является первым заместителем главы администрации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Решения принимаются большинством в две трети от числа членов Комитета, присутствующих на заседании. Заседание считается правомочным при участии более двух третей списочного состава Комитета.</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8.2. Тематические комиссии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Тематические комиссии Стратегии обеспечивают разработку, </w:t>
      </w:r>
      <w:r w:rsidRPr="00223895">
        <w:rPr>
          <w:rFonts w:ascii="Times New Roman" w:hAnsi="Times New Roman" w:cs="Times New Roman"/>
          <w:sz w:val="28"/>
          <w:szCs w:val="28"/>
        </w:rPr>
        <w:lastRenderedPageBreak/>
        <w:t>реализацию, мониторинг, корректировку и обновление Стратегии по выбранным стратегическим направлениям и отдельным проблемам. Через членство в тематических комиссиях реализуется участие деловых кругов, общественности, специалистов, администрации и других органов власти.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Задачи тематической комиссии: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подготовка аналитических материалов для выявления основных проблем и приоритетов развития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организация выполнения целей и задач, предусмотренных Стратегией;</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ведение мониторинга реализации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подготовка предложений по корректировке и обновлению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Комиссии организуют свою деятельность самостоятельно.</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8.3. Рабочие группы</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Рабочие группы образуются по каждой мере Стратегии для обеспечения ее реализации. Их деятельность координируется тематическими комиссиями.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Задачи рабочих групп:</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активизация и координация действий участников по продвижению соответствующей меры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ведение мониторинга реализации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 подготовка и представление заявок на бюджетное финансирование по реализации меры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Работу группы курирует руководитель соответствующей тематической комиссии. Группа организует свою работу и распределение функциональных обязанностей самостоятельно.</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1"/>
        <w:rPr>
          <w:rFonts w:ascii="Times New Roman" w:hAnsi="Times New Roman" w:cs="Times New Roman"/>
          <w:sz w:val="28"/>
          <w:szCs w:val="28"/>
        </w:rPr>
      </w:pPr>
      <w:r w:rsidRPr="00223895">
        <w:rPr>
          <w:rFonts w:ascii="Times New Roman" w:hAnsi="Times New Roman" w:cs="Times New Roman"/>
          <w:sz w:val="28"/>
          <w:szCs w:val="28"/>
        </w:rPr>
        <w:t>9. МОНИТОРИНГ РЕАЛИЗАЦИИ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9.1. Общие положения о мониторинге реализации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Реализация Стратегии требует постоянного наблюдения за происходящими в социально-хозяйственной системе процессами. Эти функции выполняет мониторинг. Он включает: организацию наблюдения, получение достоверной и объективной информации о протекающих социально-экономических процессах; оценку и анализ тенденций в различных сферах экономики; выявление причин, вызывающих тот или иной характер изменений; определение степени достижения главной цели, решения основных задач стратегии: обеспечение в установленном порядке </w:t>
      </w:r>
      <w:r w:rsidRPr="00223895">
        <w:rPr>
          <w:rFonts w:ascii="Times New Roman" w:hAnsi="Times New Roman" w:cs="Times New Roman"/>
          <w:sz w:val="28"/>
          <w:szCs w:val="28"/>
        </w:rPr>
        <w:lastRenderedPageBreak/>
        <w:t>органов управления, предприятий, учреждений и организаций, граждан мониторинговой информацией, прогнозирование и моделирование экономической конъюнктуры и социальной ситуации; стимулирование реализации плана в целом и отдельных его частей; подготовка рекомендаций, направленных на преодоление негативных и поддержку позитивных тенденций, доведение их до сведения соответствующих органов власти.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Действенность мониторинга определяется положенными в его основу принципами. Необходима целенаправленная ориентация всей системы мониторинга на решение конкретных управленческих задач. Рассмотрение процессов и характеризующих их параметров в контексте развития региона позволяет видеть район в системах более высокого уровня и учитывать обратные воздействия. Комплексность требует взаимоувязки наблюдаемых отдельных сфер и направлений реализации стратегии, непрерывность - постоянного отслеживания основных параметров движения хозяйственной системы, сопоставимость - приведения аналитических показателей в сравнимый вид. Наконец, количество отслеживаемых показателей должно приниматься исходя из принципа разумности, что не позволит "утонуть" в отслеживаемой информации.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Разумеется, 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Их целесообразно разделить на контрольные и мониторинговые. Первые можно изменять посредством введения тех или иных мер, вторые - лишь отслеживать, не воздействуя на них. Такая система позволяет анализировать ход реализации Стратегии в сравнении с прогнозными показателями Стратегии, а также оценивать эффективность работы различных подразделений.</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9.2. Показатели мониторинга реализации Стратегии</w:t>
      </w: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(в ред. </w:t>
      </w:r>
      <w:hyperlink r:id="rId62">
        <w:r w:rsidRPr="00223895">
          <w:rPr>
            <w:rFonts w:ascii="Times New Roman" w:hAnsi="Times New Roman" w:cs="Times New Roman"/>
            <w:color w:val="0000FF"/>
            <w:sz w:val="28"/>
            <w:szCs w:val="28"/>
          </w:rPr>
          <w:t>решения</w:t>
        </w:r>
      </w:hyperlink>
      <w:r w:rsidRPr="00223895">
        <w:rPr>
          <w:rFonts w:ascii="Times New Roman" w:hAnsi="Times New Roman" w:cs="Times New Roman"/>
          <w:sz w:val="28"/>
          <w:szCs w:val="28"/>
        </w:rPr>
        <w:t xml:space="preserve"> Совета депутатов Грязинского муниципального района Липецкой обл. от 16.10.2018 N 224)</w:t>
      </w:r>
    </w:p>
    <w:p w:rsidR="00452847" w:rsidRPr="00223895" w:rsidRDefault="00452847">
      <w:pPr>
        <w:pStyle w:val="ConsPlusNormal"/>
        <w:jc w:val="both"/>
        <w:rPr>
          <w:rFonts w:ascii="Times New Roman" w:hAnsi="Times New Roman" w:cs="Times New Roman"/>
          <w:sz w:val="28"/>
          <w:szCs w:val="28"/>
        </w:rPr>
      </w:pPr>
    </w:p>
    <w:p w:rsidR="00452847" w:rsidRDefault="00452847">
      <w:pPr>
        <w:pStyle w:val="ConsPlusNormal"/>
        <w:sectPr w:rsidR="00452847">
          <w:pgSz w:w="11905" w:h="16838"/>
          <w:pgMar w:top="1134" w:right="850" w:bottom="1134" w:left="1701" w:header="0" w:footer="0" w:gutter="0"/>
          <w:cols w:space="720"/>
          <w:titlePg/>
        </w:sectPr>
      </w:pPr>
    </w:p>
    <w:tbl>
      <w:tblPr>
        <w:tblW w:w="1587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2"/>
        <w:gridCol w:w="75"/>
        <w:gridCol w:w="19"/>
        <w:gridCol w:w="632"/>
        <w:gridCol w:w="14"/>
        <w:gridCol w:w="6"/>
        <w:gridCol w:w="40"/>
        <w:gridCol w:w="11"/>
        <w:gridCol w:w="29"/>
        <w:gridCol w:w="639"/>
        <w:gridCol w:w="14"/>
        <w:gridCol w:w="14"/>
        <w:gridCol w:w="20"/>
        <w:gridCol w:w="8"/>
        <w:gridCol w:w="8"/>
        <w:gridCol w:w="30"/>
        <w:gridCol w:w="645"/>
        <w:gridCol w:w="17"/>
        <w:gridCol w:w="19"/>
        <w:gridCol w:w="3"/>
        <w:gridCol w:w="6"/>
        <w:gridCol w:w="12"/>
        <w:gridCol w:w="32"/>
        <w:gridCol w:w="650"/>
        <w:gridCol w:w="20"/>
        <w:gridCol w:w="21"/>
        <w:gridCol w:w="2"/>
        <w:gridCol w:w="7"/>
        <w:gridCol w:w="33"/>
        <w:gridCol w:w="656"/>
        <w:gridCol w:w="23"/>
        <w:gridCol w:w="12"/>
        <w:gridCol w:w="8"/>
        <w:gridCol w:w="8"/>
        <w:gridCol w:w="26"/>
        <w:gridCol w:w="663"/>
        <w:gridCol w:w="25"/>
        <w:gridCol w:w="14"/>
        <w:gridCol w:w="19"/>
        <w:gridCol w:w="17"/>
        <w:gridCol w:w="668"/>
        <w:gridCol w:w="23"/>
        <w:gridCol w:w="15"/>
        <w:gridCol w:w="23"/>
        <w:gridCol w:w="4"/>
        <w:gridCol w:w="674"/>
        <w:gridCol w:w="27"/>
        <w:gridCol w:w="5"/>
        <w:gridCol w:w="28"/>
        <w:gridCol w:w="9"/>
        <w:gridCol w:w="670"/>
        <w:gridCol w:w="26"/>
        <w:gridCol w:w="4"/>
        <w:gridCol w:w="24"/>
        <w:gridCol w:w="23"/>
        <w:gridCol w:w="662"/>
        <w:gridCol w:w="23"/>
        <w:gridCol w:w="10"/>
        <w:gridCol w:w="15"/>
        <w:gridCol w:w="36"/>
        <w:gridCol w:w="673"/>
        <w:gridCol w:w="18"/>
        <w:gridCol w:w="7"/>
        <w:gridCol w:w="49"/>
        <w:gridCol w:w="666"/>
        <w:gridCol w:w="18"/>
        <w:gridCol w:w="2"/>
        <w:gridCol w:w="61"/>
        <w:gridCol w:w="658"/>
        <w:gridCol w:w="13"/>
        <w:gridCol w:w="9"/>
        <w:gridCol w:w="66"/>
        <w:gridCol w:w="655"/>
        <w:gridCol w:w="7"/>
        <w:gridCol w:w="14"/>
        <w:gridCol w:w="71"/>
        <w:gridCol w:w="657"/>
        <w:gridCol w:w="15"/>
        <w:gridCol w:w="75"/>
        <w:gridCol w:w="651"/>
        <w:gridCol w:w="16"/>
        <w:gridCol w:w="79"/>
        <w:gridCol w:w="635"/>
        <w:gridCol w:w="9"/>
        <w:gridCol w:w="6"/>
        <w:gridCol w:w="13"/>
        <w:gridCol w:w="84"/>
        <w:gridCol w:w="747"/>
      </w:tblGrid>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Период действия стратегии социально-экономического развития</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Наименование показателей</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2009 г.</w:t>
            </w:r>
          </w:p>
        </w:tc>
        <w:tc>
          <w:tcPr>
            <w:tcW w:w="72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2010 г.</w:t>
            </w:r>
          </w:p>
        </w:tc>
        <w:tc>
          <w:tcPr>
            <w:tcW w:w="728"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2011 г.</w:t>
            </w:r>
          </w:p>
        </w:tc>
        <w:tc>
          <w:tcPr>
            <w:tcW w:w="735"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2012 г.</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2013 г.</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2014 г.</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2015 г.</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2016 г.</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2017 г.</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2018 г.</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2019 г.</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2020 г.</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2021 г.</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2022 г.</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2023 г.</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2024 г.</w:t>
            </w:r>
          </w:p>
        </w:tc>
        <w:tc>
          <w:tcPr>
            <w:tcW w:w="730"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2025 г.</w:t>
            </w:r>
          </w:p>
        </w:tc>
        <w:tc>
          <w:tcPr>
            <w:tcW w:w="85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2026 г.</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Стратегическая цель N 1. Создание условий для повышения качества жизни населения</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1.1. Снижение уровня бедности населения, обеспечение устойчивого роста денежных доходов населения</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1.1.1. Среднемесячная заработная плата работающих (по крупным и средним предприятиям), руб.</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11942</w:t>
            </w:r>
          </w:p>
        </w:tc>
        <w:tc>
          <w:tcPr>
            <w:tcW w:w="72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13127</w:t>
            </w:r>
          </w:p>
        </w:tc>
        <w:tc>
          <w:tcPr>
            <w:tcW w:w="728"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15388</w:t>
            </w:r>
          </w:p>
        </w:tc>
        <w:tc>
          <w:tcPr>
            <w:tcW w:w="735"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18173</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20848</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22522</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24405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26520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29118</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33150</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35643</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41848,6</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46309,7</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50940</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53487</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56169</w:t>
            </w:r>
          </w:p>
        </w:tc>
        <w:tc>
          <w:tcPr>
            <w:tcW w:w="730"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58977</w:t>
            </w:r>
          </w:p>
        </w:tc>
        <w:tc>
          <w:tcPr>
            <w:tcW w:w="85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61926</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1.2. Обеспечение улучшения здоровья населения</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1..2.1 Младенческая смертность, на 1000 родившихся</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10,3</w:t>
            </w:r>
          </w:p>
        </w:tc>
        <w:tc>
          <w:tcPr>
            <w:tcW w:w="72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10,7</w:t>
            </w:r>
          </w:p>
        </w:tc>
        <w:tc>
          <w:tcPr>
            <w:tcW w:w="728"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10,5</w:t>
            </w:r>
          </w:p>
        </w:tc>
        <w:tc>
          <w:tcPr>
            <w:tcW w:w="735"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10,2</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9,8</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9,6</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3,7</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3,3</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2,8</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1" w:type="dxa"/>
            <w:gridSpan w:val="3"/>
          </w:tcPr>
          <w:p w:rsidR="0061724B" w:rsidRPr="00223895" w:rsidRDefault="0061724B" w:rsidP="0061724B">
            <w:pPr>
              <w:pStyle w:val="ConsPlusNormal"/>
              <w:jc w:val="center"/>
              <w:rPr>
                <w:rFonts w:ascii="Times New Roman" w:hAnsi="Times New Roman" w:cs="Times New Roman"/>
              </w:rPr>
            </w:pPr>
            <w:r w:rsidRPr="00223895">
              <w:rPr>
                <w:rFonts w:ascii="Times New Roman" w:hAnsi="Times New Roman" w:cs="Times New Roman"/>
              </w:rPr>
              <w:t>2,0</w:t>
            </w:r>
          </w:p>
        </w:tc>
        <w:tc>
          <w:tcPr>
            <w:tcW w:w="730"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85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12.3. Число заболеваний, зарегистрированных у больных с первые установленным диагнозом, на 1000 населения</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508,6</w:t>
            </w:r>
          </w:p>
        </w:tc>
        <w:tc>
          <w:tcPr>
            <w:tcW w:w="72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500,0</w:t>
            </w:r>
          </w:p>
        </w:tc>
        <w:tc>
          <w:tcPr>
            <w:tcW w:w="728"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498,6</w:t>
            </w:r>
          </w:p>
        </w:tc>
        <w:tc>
          <w:tcPr>
            <w:tcW w:w="735"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490,0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485,5</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485,0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480,5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480,0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449,4</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449,5</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w:t>
            </w:r>
            <w:r w:rsidR="00DE63F3" w:rsidRPr="00223895">
              <w:rPr>
                <w:rFonts w:ascii="Times New Roman" w:hAnsi="Times New Roman" w:cs="Times New Roman"/>
              </w:rPr>
              <w:t>12,6</w:t>
            </w:r>
          </w:p>
        </w:tc>
        <w:tc>
          <w:tcPr>
            <w:tcW w:w="740"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477,3</w:t>
            </w:r>
          </w:p>
        </w:tc>
        <w:tc>
          <w:tcPr>
            <w:tcW w:w="739"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498,1</w:t>
            </w:r>
          </w:p>
        </w:tc>
        <w:tc>
          <w:tcPr>
            <w:tcW w:w="743"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480,6</w:t>
            </w:r>
          </w:p>
        </w:tc>
        <w:tc>
          <w:tcPr>
            <w:tcW w:w="749"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478,8</w:t>
            </w:r>
          </w:p>
        </w:tc>
        <w:tc>
          <w:tcPr>
            <w:tcW w:w="741" w:type="dxa"/>
            <w:gridSpan w:val="3"/>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479,8</w:t>
            </w:r>
          </w:p>
        </w:tc>
        <w:tc>
          <w:tcPr>
            <w:tcW w:w="730" w:type="dxa"/>
            <w:gridSpan w:val="3"/>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480,0</w:t>
            </w:r>
          </w:p>
        </w:tc>
        <w:tc>
          <w:tcPr>
            <w:tcW w:w="859" w:type="dxa"/>
            <w:gridSpan w:val="5"/>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480,0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121.4. Удовлетворенность населения медицинской помощью, процент от числа опрошенных</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59</w:t>
            </w:r>
          </w:p>
        </w:tc>
        <w:tc>
          <w:tcPr>
            <w:tcW w:w="72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59</w:t>
            </w:r>
          </w:p>
        </w:tc>
        <w:tc>
          <w:tcPr>
            <w:tcW w:w="728"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w:t>
            </w:r>
          </w:p>
        </w:tc>
        <w:tc>
          <w:tcPr>
            <w:tcW w:w="735"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54</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57</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58</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59</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60</w:t>
            </w:r>
          </w:p>
        </w:tc>
        <w:tc>
          <w:tcPr>
            <w:tcW w:w="730" w:type="dxa"/>
            <w:gridSpan w:val="3"/>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63</w:t>
            </w:r>
          </w:p>
        </w:tc>
        <w:tc>
          <w:tcPr>
            <w:tcW w:w="859" w:type="dxa"/>
            <w:gridSpan w:val="5"/>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65</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12.5. Обеспеченность врачами, на 10 тыс. населения</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19,1</w:t>
            </w:r>
          </w:p>
        </w:tc>
        <w:tc>
          <w:tcPr>
            <w:tcW w:w="72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19,1</w:t>
            </w:r>
          </w:p>
        </w:tc>
        <w:tc>
          <w:tcPr>
            <w:tcW w:w="728"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19,2</w:t>
            </w:r>
          </w:p>
        </w:tc>
        <w:tc>
          <w:tcPr>
            <w:tcW w:w="735"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19,4</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19,6</w:t>
            </w:r>
          </w:p>
        </w:tc>
        <w:tc>
          <w:tcPr>
            <w:tcW w:w="744" w:type="dxa"/>
            <w:gridSpan w:val="6"/>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18,6</w:t>
            </w:r>
          </w:p>
        </w:tc>
        <w:tc>
          <w:tcPr>
            <w:tcW w:w="742" w:type="dxa"/>
            <w:gridSpan w:val="5"/>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18,3</w:t>
            </w:r>
          </w:p>
        </w:tc>
        <w:tc>
          <w:tcPr>
            <w:tcW w:w="733" w:type="dxa"/>
            <w:gridSpan w:val="5"/>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18,1</w:t>
            </w:r>
          </w:p>
        </w:tc>
        <w:tc>
          <w:tcPr>
            <w:tcW w:w="733"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17,8</w:t>
            </w:r>
          </w:p>
        </w:tc>
        <w:tc>
          <w:tcPr>
            <w:tcW w:w="736" w:type="dxa"/>
            <w:gridSpan w:val="5"/>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17,2</w:t>
            </w:r>
          </w:p>
        </w:tc>
        <w:tc>
          <w:tcPr>
            <w:tcW w:w="734"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15,0</w:t>
            </w:r>
          </w:p>
        </w:tc>
        <w:tc>
          <w:tcPr>
            <w:tcW w:w="740"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16,1</w:t>
            </w:r>
          </w:p>
        </w:tc>
        <w:tc>
          <w:tcPr>
            <w:tcW w:w="739"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15,2</w:t>
            </w:r>
          </w:p>
        </w:tc>
        <w:tc>
          <w:tcPr>
            <w:tcW w:w="743"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16,0</w:t>
            </w:r>
          </w:p>
        </w:tc>
        <w:tc>
          <w:tcPr>
            <w:tcW w:w="749" w:type="dxa"/>
            <w:gridSpan w:val="4"/>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16,0</w:t>
            </w:r>
          </w:p>
        </w:tc>
        <w:tc>
          <w:tcPr>
            <w:tcW w:w="741" w:type="dxa"/>
            <w:gridSpan w:val="3"/>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16,5</w:t>
            </w:r>
          </w:p>
        </w:tc>
        <w:tc>
          <w:tcPr>
            <w:tcW w:w="730" w:type="dxa"/>
            <w:gridSpan w:val="3"/>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16,8</w:t>
            </w:r>
          </w:p>
        </w:tc>
        <w:tc>
          <w:tcPr>
            <w:tcW w:w="859" w:type="dxa"/>
            <w:gridSpan w:val="5"/>
          </w:tcPr>
          <w:p w:rsidR="0061724B" w:rsidRPr="00223895" w:rsidRDefault="00DE63F3" w:rsidP="00DE63F3">
            <w:pPr>
              <w:pStyle w:val="ConsPlusNormal"/>
              <w:jc w:val="center"/>
              <w:rPr>
                <w:rFonts w:ascii="Times New Roman" w:hAnsi="Times New Roman" w:cs="Times New Roman"/>
              </w:rPr>
            </w:pPr>
            <w:r w:rsidRPr="00223895">
              <w:rPr>
                <w:rFonts w:ascii="Times New Roman" w:hAnsi="Times New Roman" w:cs="Times New Roman"/>
              </w:rPr>
              <w:t>17,0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1.3. Повышение доступности качественного образования</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 xml:space="preserve">1.3.1 Обеспеченность детей местами в дошкольных образовательных </w:t>
            </w:r>
            <w:r w:rsidRPr="00223895">
              <w:rPr>
                <w:rFonts w:ascii="Times New Roman" w:hAnsi="Times New Roman" w:cs="Times New Roman"/>
              </w:rPr>
              <w:lastRenderedPageBreak/>
              <w:t>учреждениях, %</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61,1</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64,4</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67,2</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53,7</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55,3</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44,9</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44,9</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1.3.2. Удовлетворенность населения качеством дошкольного образования детей, процент от числа опрошенных</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78</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83</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1" w:type="dxa"/>
            <w:gridSpan w:val="3"/>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85</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1.3.3. Удовлетворенность населения качеством дополнительного образования детей, процент от числа опрошенных</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52</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68</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1.3.4. Удельный вес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4"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95</w:t>
            </w:r>
          </w:p>
        </w:tc>
        <w:tc>
          <w:tcPr>
            <w:tcW w:w="74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83,9</w:t>
            </w:r>
          </w:p>
        </w:tc>
        <w:tc>
          <w:tcPr>
            <w:tcW w:w="743"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87</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92</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94</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1.3.5. Удовлетворенность населения качеством общего образования, процент от числа опрошенных</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68</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76</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78</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82</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34"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86,62</w:t>
            </w:r>
          </w:p>
        </w:tc>
        <w:tc>
          <w:tcPr>
            <w:tcW w:w="74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91,8</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98,0</w:t>
            </w:r>
          </w:p>
        </w:tc>
        <w:tc>
          <w:tcPr>
            <w:tcW w:w="743"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100,0</w:t>
            </w:r>
          </w:p>
        </w:tc>
        <w:tc>
          <w:tcPr>
            <w:tcW w:w="74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100,0</w:t>
            </w:r>
          </w:p>
        </w:tc>
        <w:tc>
          <w:tcPr>
            <w:tcW w:w="741" w:type="dxa"/>
            <w:gridSpan w:val="3"/>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100,0</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 xml:space="preserve">1.3.6. Удельный вес лиц, сдавших единый государственный экзамен по математике и русскому языку, в числе выпускников общеобразовательных муниципальных учреждений, участвовавших в едином </w:t>
            </w:r>
            <w:r w:rsidRPr="00223895">
              <w:rPr>
                <w:rFonts w:ascii="Times New Roman" w:hAnsi="Times New Roman" w:cs="Times New Roman"/>
              </w:rPr>
              <w:lastRenderedPageBreak/>
              <w:t>государственном экзамене, %</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99,5</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100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1.3.7. Доля негосударственных образовательных учреждений в общем количестве общеобразовательных учреждений, %</w:t>
            </w:r>
          </w:p>
        </w:tc>
        <w:tc>
          <w:tcPr>
            <w:tcW w:w="71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2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0"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1"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4"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1.4. Развитие инфраструктуры, обеспечение населения услугами и комфортным жильем</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1.4.1. Обеспеченность жильем, кв. м на 1 чел.</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29,3</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29,3</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29,9</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30,5</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31,2</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30,6</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31,1</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31,8</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32,7</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32,9</w:t>
            </w:r>
          </w:p>
        </w:tc>
        <w:tc>
          <w:tcPr>
            <w:tcW w:w="734"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34,2</w:t>
            </w:r>
          </w:p>
        </w:tc>
        <w:tc>
          <w:tcPr>
            <w:tcW w:w="74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35,3</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36,5</w:t>
            </w:r>
          </w:p>
        </w:tc>
        <w:tc>
          <w:tcPr>
            <w:tcW w:w="743"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37,4</w:t>
            </w:r>
          </w:p>
        </w:tc>
        <w:tc>
          <w:tcPr>
            <w:tcW w:w="74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38,3</w:t>
            </w:r>
          </w:p>
        </w:tc>
        <w:tc>
          <w:tcPr>
            <w:tcW w:w="741" w:type="dxa"/>
            <w:gridSpan w:val="3"/>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39,2</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34,2</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35,3</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1.4.2. Доля населения, проживающего в аварийном жилье в общей численности населения, %</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0,7</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0,7</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0,6</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0,5</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0,4</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0,4</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0,4</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0,3</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0,3</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0,2</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0,2</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0,1</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0,1</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0,1</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0,1</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0,1</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0,1</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0,1</w:t>
            </w:r>
          </w:p>
        </w:tc>
      </w:tr>
      <w:tr w:rsidR="00CB6B33" w:rsidRPr="00223895" w:rsidTr="00DE63F3">
        <w:tc>
          <w:tcPr>
            <w:tcW w:w="2511" w:type="dxa"/>
            <w:gridSpan w:val="3"/>
          </w:tcPr>
          <w:p w:rsidR="00CB6B33" w:rsidRPr="00223895" w:rsidRDefault="00CB6B33" w:rsidP="00CB6B33">
            <w:pPr>
              <w:pStyle w:val="ConsPlusNormal"/>
              <w:rPr>
                <w:rFonts w:ascii="Times New Roman" w:hAnsi="Times New Roman" w:cs="Times New Roman"/>
              </w:rPr>
            </w:pPr>
            <w:r w:rsidRPr="00223895">
              <w:rPr>
                <w:rFonts w:ascii="Times New Roman" w:hAnsi="Times New Roman" w:cs="Times New Roman"/>
              </w:rPr>
              <w:t>1.4.3. Охват населения услугами централизованного водоснабжения, %</w:t>
            </w:r>
          </w:p>
        </w:tc>
        <w:tc>
          <w:tcPr>
            <w:tcW w:w="722" w:type="dxa"/>
            <w:gridSpan w:val="6"/>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99,0</w:t>
            </w:r>
          </w:p>
        </w:tc>
        <w:tc>
          <w:tcPr>
            <w:tcW w:w="732" w:type="dxa"/>
            <w:gridSpan w:val="7"/>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99,4</w:t>
            </w:r>
          </w:p>
        </w:tc>
        <w:tc>
          <w:tcPr>
            <w:tcW w:w="732" w:type="dxa"/>
            <w:gridSpan w:val="7"/>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99,4</w:t>
            </w:r>
          </w:p>
        </w:tc>
        <w:tc>
          <w:tcPr>
            <w:tcW w:w="732" w:type="dxa"/>
            <w:gridSpan w:val="6"/>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99,4</w:t>
            </w:r>
          </w:p>
        </w:tc>
        <w:tc>
          <w:tcPr>
            <w:tcW w:w="732" w:type="dxa"/>
            <w:gridSpan w:val="5"/>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99,4</w:t>
            </w:r>
          </w:p>
        </w:tc>
        <w:tc>
          <w:tcPr>
            <w:tcW w:w="736" w:type="dxa"/>
            <w:gridSpan w:val="5"/>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99,5</w:t>
            </w:r>
          </w:p>
        </w:tc>
        <w:tc>
          <w:tcPr>
            <w:tcW w:w="742" w:type="dxa"/>
            <w:gridSpan w:val="5"/>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99,5</w:t>
            </w:r>
          </w:p>
        </w:tc>
        <w:tc>
          <w:tcPr>
            <w:tcW w:w="733" w:type="dxa"/>
            <w:gridSpan w:val="5"/>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99,6</w:t>
            </w:r>
          </w:p>
        </w:tc>
        <w:tc>
          <w:tcPr>
            <w:tcW w:w="733" w:type="dxa"/>
            <w:gridSpan w:val="4"/>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99,6</w:t>
            </w:r>
          </w:p>
        </w:tc>
        <w:tc>
          <w:tcPr>
            <w:tcW w:w="736" w:type="dxa"/>
            <w:gridSpan w:val="5"/>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99,7</w:t>
            </w:r>
          </w:p>
        </w:tc>
        <w:tc>
          <w:tcPr>
            <w:tcW w:w="734" w:type="dxa"/>
            <w:gridSpan w:val="4"/>
          </w:tcPr>
          <w:p w:rsidR="00CB6B33" w:rsidRPr="00223895" w:rsidRDefault="00CB6B33" w:rsidP="00CB6B33">
            <w:pPr>
              <w:pStyle w:val="ConsPlusNormal"/>
              <w:jc w:val="center"/>
              <w:rPr>
                <w:rFonts w:ascii="Times New Roman" w:hAnsi="Times New Roman" w:cs="Times New Roman"/>
              </w:rPr>
            </w:pPr>
            <w:r w:rsidRPr="00223895">
              <w:rPr>
                <w:rFonts w:ascii="Times New Roman" w:hAnsi="Times New Roman" w:cs="Times New Roman"/>
              </w:rPr>
              <w:t>99,7</w:t>
            </w:r>
          </w:p>
        </w:tc>
        <w:tc>
          <w:tcPr>
            <w:tcW w:w="740" w:type="dxa"/>
            <w:gridSpan w:val="4"/>
          </w:tcPr>
          <w:p w:rsidR="00CB6B33" w:rsidRPr="00223895" w:rsidRDefault="00CB6B33" w:rsidP="00CB6B33">
            <w:pPr>
              <w:rPr>
                <w:rFonts w:ascii="Times New Roman" w:hAnsi="Times New Roman"/>
              </w:rPr>
            </w:pPr>
            <w:r w:rsidRPr="00223895">
              <w:rPr>
                <w:rFonts w:ascii="Times New Roman" w:hAnsi="Times New Roman"/>
              </w:rPr>
              <w:t>99,7</w:t>
            </w:r>
          </w:p>
        </w:tc>
        <w:tc>
          <w:tcPr>
            <w:tcW w:w="739" w:type="dxa"/>
            <w:gridSpan w:val="4"/>
          </w:tcPr>
          <w:p w:rsidR="00CB6B33" w:rsidRPr="00223895" w:rsidRDefault="00CB6B33" w:rsidP="00CB6B33">
            <w:pPr>
              <w:rPr>
                <w:rFonts w:ascii="Times New Roman" w:hAnsi="Times New Roman"/>
              </w:rPr>
            </w:pPr>
            <w:r w:rsidRPr="00223895">
              <w:rPr>
                <w:rFonts w:ascii="Times New Roman" w:hAnsi="Times New Roman"/>
              </w:rPr>
              <w:t>99,7</w:t>
            </w:r>
          </w:p>
        </w:tc>
        <w:tc>
          <w:tcPr>
            <w:tcW w:w="743" w:type="dxa"/>
            <w:gridSpan w:val="4"/>
          </w:tcPr>
          <w:p w:rsidR="00CB6B33" w:rsidRPr="00223895" w:rsidRDefault="00CB6B33" w:rsidP="00CB6B33">
            <w:pPr>
              <w:rPr>
                <w:rFonts w:ascii="Times New Roman" w:hAnsi="Times New Roman"/>
              </w:rPr>
            </w:pPr>
            <w:r w:rsidRPr="00223895">
              <w:rPr>
                <w:rFonts w:ascii="Times New Roman" w:hAnsi="Times New Roman"/>
              </w:rPr>
              <w:t>99,7</w:t>
            </w:r>
          </w:p>
        </w:tc>
        <w:tc>
          <w:tcPr>
            <w:tcW w:w="749" w:type="dxa"/>
            <w:gridSpan w:val="4"/>
          </w:tcPr>
          <w:p w:rsidR="00CB6B33" w:rsidRPr="00223895" w:rsidRDefault="00CB6B33" w:rsidP="00CB6B33">
            <w:pPr>
              <w:rPr>
                <w:rFonts w:ascii="Times New Roman" w:hAnsi="Times New Roman"/>
              </w:rPr>
            </w:pPr>
            <w:r w:rsidRPr="00223895">
              <w:rPr>
                <w:rFonts w:ascii="Times New Roman" w:hAnsi="Times New Roman"/>
              </w:rPr>
              <w:t>99,7</w:t>
            </w:r>
          </w:p>
        </w:tc>
        <w:tc>
          <w:tcPr>
            <w:tcW w:w="741" w:type="dxa"/>
            <w:gridSpan w:val="3"/>
          </w:tcPr>
          <w:p w:rsidR="00CB6B33" w:rsidRPr="00223895" w:rsidRDefault="00CB6B33" w:rsidP="00CB6B33">
            <w:pPr>
              <w:rPr>
                <w:rFonts w:ascii="Times New Roman" w:hAnsi="Times New Roman"/>
              </w:rPr>
            </w:pPr>
            <w:r w:rsidRPr="00223895">
              <w:rPr>
                <w:rFonts w:ascii="Times New Roman" w:hAnsi="Times New Roman"/>
              </w:rPr>
              <w:t>99,7</w:t>
            </w:r>
          </w:p>
        </w:tc>
        <w:tc>
          <w:tcPr>
            <w:tcW w:w="739" w:type="dxa"/>
            <w:gridSpan w:val="4"/>
          </w:tcPr>
          <w:p w:rsidR="00CB6B33" w:rsidRPr="00223895" w:rsidRDefault="00CB6B33" w:rsidP="00CB6B33">
            <w:pPr>
              <w:rPr>
                <w:rFonts w:ascii="Times New Roman" w:hAnsi="Times New Roman"/>
              </w:rPr>
            </w:pPr>
            <w:r w:rsidRPr="00223895">
              <w:rPr>
                <w:rFonts w:ascii="Times New Roman" w:hAnsi="Times New Roman"/>
              </w:rPr>
              <w:t>99,7</w:t>
            </w:r>
          </w:p>
        </w:tc>
        <w:tc>
          <w:tcPr>
            <w:tcW w:w="850" w:type="dxa"/>
            <w:gridSpan w:val="4"/>
          </w:tcPr>
          <w:p w:rsidR="00CB6B33" w:rsidRPr="00223895" w:rsidRDefault="00CB6B33" w:rsidP="00CB6B33">
            <w:pPr>
              <w:rPr>
                <w:rFonts w:ascii="Times New Roman" w:hAnsi="Times New Roman"/>
              </w:rPr>
            </w:pPr>
            <w:r w:rsidRPr="00223895">
              <w:rPr>
                <w:rFonts w:ascii="Times New Roman" w:hAnsi="Times New Roman"/>
              </w:rPr>
              <w:t>99,7</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1.4.4. Доля населения, потребляющего качественную питьевую воду, соответствующую требованиям СанПиН, %</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97,0</w:t>
            </w:r>
          </w:p>
        </w:tc>
        <w:tc>
          <w:tcPr>
            <w:tcW w:w="732" w:type="dxa"/>
            <w:gridSpan w:val="7"/>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97,4</w:t>
            </w:r>
          </w:p>
        </w:tc>
        <w:tc>
          <w:tcPr>
            <w:tcW w:w="732" w:type="dxa"/>
            <w:gridSpan w:val="7"/>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97,5</w:t>
            </w:r>
          </w:p>
        </w:tc>
        <w:tc>
          <w:tcPr>
            <w:tcW w:w="732" w:type="dxa"/>
            <w:gridSpan w:val="6"/>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97,7</w:t>
            </w:r>
          </w:p>
        </w:tc>
        <w:tc>
          <w:tcPr>
            <w:tcW w:w="732" w:type="dxa"/>
            <w:gridSpan w:val="5"/>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97,8</w:t>
            </w:r>
          </w:p>
        </w:tc>
        <w:tc>
          <w:tcPr>
            <w:tcW w:w="736" w:type="dxa"/>
            <w:gridSpan w:val="5"/>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w:t>
            </w:r>
          </w:p>
        </w:tc>
        <w:tc>
          <w:tcPr>
            <w:tcW w:w="742" w:type="dxa"/>
            <w:gridSpan w:val="5"/>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98,2</w:t>
            </w:r>
          </w:p>
        </w:tc>
        <w:tc>
          <w:tcPr>
            <w:tcW w:w="733" w:type="dxa"/>
            <w:gridSpan w:val="5"/>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98,5</w:t>
            </w:r>
          </w:p>
        </w:tc>
        <w:tc>
          <w:tcPr>
            <w:tcW w:w="733"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98,8</w:t>
            </w:r>
          </w:p>
        </w:tc>
        <w:tc>
          <w:tcPr>
            <w:tcW w:w="736" w:type="dxa"/>
            <w:gridSpan w:val="5"/>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98,9</w:t>
            </w:r>
          </w:p>
        </w:tc>
        <w:tc>
          <w:tcPr>
            <w:tcW w:w="734"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99,0</w:t>
            </w:r>
          </w:p>
        </w:tc>
        <w:tc>
          <w:tcPr>
            <w:tcW w:w="74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99,0</w:t>
            </w:r>
          </w:p>
        </w:tc>
        <w:tc>
          <w:tcPr>
            <w:tcW w:w="743"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99,2</w:t>
            </w:r>
          </w:p>
        </w:tc>
        <w:tc>
          <w:tcPr>
            <w:tcW w:w="74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99,3</w:t>
            </w:r>
          </w:p>
        </w:tc>
        <w:tc>
          <w:tcPr>
            <w:tcW w:w="741" w:type="dxa"/>
            <w:gridSpan w:val="3"/>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99,3</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99,4</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99,5</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 xml:space="preserve">1.4.5. Доля населения, проживающего в населенных пунктах, не имеющих регулярного автобусного сообщения с административным центром муниципального района, в общей </w:t>
            </w:r>
            <w:r w:rsidRPr="00223895">
              <w:rPr>
                <w:rFonts w:ascii="Times New Roman" w:hAnsi="Times New Roman" w:cs="Times New Roman"/>
              </w:rPr>
              <w:lastRenderedPageBreak/>
              <w:t>численности населения муниципального района, %</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0</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9"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850" w:type="dxa"/>
            <w:gridSpan w:val="4"/>
          </w:tcPr>
          <w:p w:rsidR="0061724B" w:rsidRPr="00223895" w:rsidRDefault="00CB6B33" w:rsidP="00DE63F3">
            <w:pPr>
              <w:pStyle w:val="ConsPlusNormal"/>
              <w:jc w:val="center"/>
              <w:rPr>
                <w:rFonts w:ascii="Times New Roman" w:hAnsi="Times New Roman" w:cs="Times New Roman"/>
              </w:rPr>
            </w:pPr>
            <w:r w:rsidRPr="00223895">
              <w:rPr>
                <w:rFonts w:ascii="Times New Roman" w:hAnsi="Times New Roman" w:cs="Times New Roman"/>
              </w:rPr>
              <w:t>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1.4.6. Удельный вес населения, участвующего в культурно-досуговых мероприятиях, %</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700</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705</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710</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720</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721</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723</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725</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726</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728</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728</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730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750</w:t>
            </w:r>
          </w:p>
        </w:tc>
        <w:tc>
          <w:tcPr>
            <w:tcW w:w="74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755</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780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785</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792</w:t>
            </w:r>
          </w:p>
        </w:tc>
        <w:tc>
          <w:tcPr>
            <w:tcW w:w="85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795</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1.4.7. Удовлетворенность населения качеством предоставляемых услуг в сфере культуры (качеством культурного обслуживания), %</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62</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65</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65</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65</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76</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76</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76</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77</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3"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85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100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1.4.8. Удельный вес населения, систематически занимающегося физической культурой и спортом, %</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13,8</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18,0</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21,5</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22,7</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25,2</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34,9</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38,4</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39</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39,5</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39,7</w:t>
            </w:r>
          </w:p>
        </w:tc>
        <w:tc>
          <w:tcPr>
            <w:tcW w:w="734"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45,4</w:t>
            </w:r>
          </w:p>
        </w:tc>
        <w:tc>
          <w:tcPr>
            <w:tcW w:w="740" w:type="dxa"/>
            <w:gridSpan w:val="4"/>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4</w:t>
            </w:r>
            <w:r w:rsidR="001C63B1" w:rsidRPr="00223895">
              <w:rPr>
                <w:rFonts w:ascii="Times New Roman" w:hAnsi="Times New Roman" w:cs="Times New Roman"/>
              </w:rPr>
              <w:t>8,9</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52,6</w:t>
            </w:r>
          </w:p>
        </w:tc>
        <w:tc>
          <w:tcPr>
            <w:tcW w:w="743"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54,3</w:t>
            </w:r>
          </w:p>
        </w:tc>
        <w:tc>
          <w:tcPr>
            <w:tcW w:w="74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55,5</w:t>
            </w:r>
          </w:p>
        </w:tc>
        <w:tc>
          <w:tcPr>
            <w:tcW w:w="741"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57,1</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57,3</w:t>
            </w:r>
          </w:p>
        </w:tc>
        <w:tc>
          <w:tcPr>
            <w:tcW w:w="85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57,8</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1.4.9. Объем оборота розничной торговли на душу населения, тыс. руб.</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79</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95,3</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104</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117</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128</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141</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171</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353,6</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364</w:t>
            </w:r>
          </w:p>
        </w:tc>
        <w:tc>
          <w:tcPr>
            <w:tcW w:w="734"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449,5</w:t>
            </w:r>
          </w:p>
        </w:tc>
        <w:tc>
          <w:tcPr>
            <w:tcW w:w="74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466,9</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575,8</w:t>
            </w:r>
          </w:p>
        </w:tc>
        <w:tc>
          <w:tcPr>
            <w:tcW w:w="743"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662,2</w:t>
            </w:r>
          </w:p>
        </w:tc>
        <w:tc>
          <w:tcPr>
            <w:tcW w:w="74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695,3</w:t>
            </w:r>
          </w:p>
        </w:tc>
        <w:tc>
          <w:tcPr>
            <w:tcW w:w="741"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730,0</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766,5</w:t>
            </w:r>
          </w:p>
        </w:tc>
        <w:tc>
          <w:tcPr>
            <w:tcW w:w="85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805,0</w:t>
            </w:r>
          </w:p>
        </w:tc>
      </w:tr>
      <w:tr w:rsidR="0061724B" w:rsidRPr="00223895" w:rsidTr="00DE63F3">
        <w:tc>
          <w:tcPr>
            <w:tcW w:w="2511" w:type="dxa"/>
            <w:gridSpan w:val="3"/>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1.4.10. Объем платных услуг на душу населения, руб.</w:t>
            </w:r>
          </w:p>
        </w:tc>
        <w:tc>
          <w:tcPr>
            <w:tcW w:w="72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6222</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7340</w:t>
            </w:r>
          </w:p>
        </w:tc>
        <w:tc>
          <w:tcPr>
            <w:tcW w:w="73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8441</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9700</w:t>
            </w:r>
          </w:p>
        </w:tc>
        <w:tc>
          <w:tcPr>
            <w:tcW w:w="73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11100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12270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13497</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14847</w:t>
            </w:r>
          </w:p>
        </w:tc>
        <w:tc>
          <w:tcPr>
            <w:tcW w:w="733"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16330</w:t>
            </w:r>
          </w:p>
        </w:tc>
        <w:tc>
          <w:tcPr>
            <w:tcW w:w="73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17965</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19800</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21800</w:t>
            </w:r>
          </w:p>
        </w:tc>
        <w:tc>
          <w:tcPr>
            <w:tcW w:w="73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22890</w:t>
            </w:r>
          </w:p>
        </w:tc>
        <w:tc>
          <w:tcPr>
            <w:tcW w:w="743" w:type="dxa"/>
            <w:gridSpan w:val="4"/>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240</w:t>
            </w:r>
            <w:r w:rsidR="001C63B1" w:rsidRPr="00223895">
              <w:rPr>
                <w:rFonts w:ascii="Times New Roman" w:hAnsi="Times New Roman" w:cs="Times New Roman"/>
              </w:rPr>
              <w:t>3</w:t>
            </w:r>
            <w:r w:rsidRPr="00223895">
              <w:rPr>
                <w:rFonts w:ascii="Times New Roman" w:hAnsi="Times New Roman" w:cs="Times New Roman"/>
              </w:rPr>
              <w:t>4</w:t>
            </w:r>
          </w:p>
        </w:tc>
        <w:tc>
          <w:tcPr>
            <w:tcW w:w="749"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25230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26490</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27815</w:t>
            </w:r>
          </w:p>
        </w:tc>
        <w:tc>
          <w:tcPr>
            <w:tcW w:w="85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29205</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1.5. Обеспечение экологической безопасности человека</w:t>
            </w:r>
          </w:p>
        </w:tc>
      </w:tr>
      <w:tr w:rsidR="001C63B1" w:rsidRPr="00223895" w:rsidTr="00DE63F3">
        <w:tc>
          <w:tcPr>
            <w:tcW w:w="2530" w:type="dxa"/>
            <w:gridSpan w:val="4"/>
          </w:tcPr>
          <w:p w:rsidR="001C63B1" w:rsidRPr="00223895" w:rsidRDefault="001C63B1" w:rsidP="001C63B1">
            <w:pPr>
              <w:pStyle w:val="ConsPlusNormal"/>
              <w:rPr>
                <w:rFonts w:ascii="Times New Roman" w:hAnsi="Times New Roman" w:cs="Times New Roman"/>
              </w:rPr>
            </w:pPr>
            <w:r w:rsidRPr="00223895">
              <w:rPr>
                <w:rFonts w:ascii="Times New Roman" w:hAnsi="Times New Roman" w:cs="Times New Roman"/>
              </w:rPr>
              <w:t>1.5.1. Масса вредных веществ, выброшенных в атмосферу от стационарных источников, тыс. тонн</w:t>
            </w:r>
          </w:p>
        </w:tc>
        <w:tc>
          <w:tcPr>
            <w:tcW w:w="732" w:type="dxa"/>
            <w:gridSpan w:val="6"/>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4,559</w:t>
            </w:r>
          </w:p>
        </w:tc>
        <w:tc>
          <w:tcPr>
            <w:tcW w:w="733" w:type="dxa"/>
            <w:gridSpan w:val="7"/>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4,558</w:t>
            </w:r>
          </w:p>
        </w:tc>
        <w:tc>
          <w:tcPr>
            <w:tcW w:w="734" w:type="dxa"/>
            <w:gridSpan w:val="7"/>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4,557</w:t>
            </w:r>
          </w:p>
        </w:tc>
        <w:tc>
          <w:tcPr>
            <w:tcW w:w="733" w:type="dxa"/>
            <w:gridSpan w:val="6"/>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4,556</w:t>
            </w:r>
          </w:p>
        </w:tc>
        <w:tc>
          <w:tcPr>
            <w:tcW w:w="733" w:type="dxa"/>
            <w:gridSpan w:val="6"/>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4,555</w:t>
            </w:r>
          </w:p>
        </w:tc>
        <w:tc>
          <w:tcPr>
            <w:tcW w:w="738" w:type="dxa"/>
            <w:gridSpan w:val="5"/>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4,554</w:t>
            </w:r>
          </w:p>
        </w:tc>
        <w:tc>
          <w:tcPr>
            <w:tcW w:w="733" w:type="dxa"/>
            <w:gridSpan w:val="5"/>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4,553</w:t>
            </w:r>
          </w:p>
        </w:tc>
        <w:tc>
          <w:tcPr>
            <w:tcW w:w="734" w:type="dxa"/>
            <w:gridSpan w:val="4"/>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4,552</w:t>
            </w:r>
          </w:p>
        </w:tc>
        <w:tc>
          <w:tcPr>
            <w:tcW w:w="733" w:type="dxa"/>
            <w:gridSpan w:val="5"/>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4,551</w:t>
            </w:r>
          </w:p>
        </w:tc>
        <w:tc>
          <w:tcPr>
            <w:tcW w:w="733" w:type="dxa"/>
            <w:gridSpan w:val="5"/>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4,55</w:t>
            </w:r>
          </w:p>
        </w:tc>
        <w:tc>
          <w:tcPr>
            <w:tcW w:w="734" w:type="dxa"/>
            <w:gridSpan w:val="4"/>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4,549</w:t>
            </w:r>
          </w:p>
        </w:tc>
        <w:tc>
          <w:tcPr>
            <w:tcW w:w="733" w:type="dxa"/>
            <w:gridSpan w:val="3"/>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4,548</w:t>
            </w:r>
          </w:p>
        </w:tc>
        <w:tc>
          <w:tcPr>
            <w:tcW w:w="734" w:type="dxa"/>
            <w:gridSpan w:val="4"/>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4,547</w:t>
            </w:r>
          </w:p>
        </w:tc>
        <w:tc>
          <w:tcPr>
            <w:tcW w:w="737" w:type="dxa"/>
            <w:gridSpan w:val="4"/>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4,546</w:t>
            </w:r>
          </w:p>
        </w:tc>
        <w:tc>
          <w:tcPr>
            <w:tcW w:w="742" w:type="dxa"/>
            <w:gridSpan w:val="3"/>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4,545</w:t>
            </w:r>
          </w:p>
        </w:tc>
        <w:tc>
          <w:tcPr>
            <w:tcW w:w="741" w:type="dxa"/>
            <w:gridSpan w:val="3"/>
          </w:tcPr>
          <w:p w:rsidR="001C63B1" w:rsidRPr="00223895" w:rsidRDefault="001C63B1" w:rsidP="001C63B1">
            <w:pPr>
              <w:pStyle w:val="ConsPlusNormal"/>
              <w:jc w:val="center"/>
              <w:rPr>
                <w:rFonts w:ascii="Times New Roman" w:hAnsi="Times New Roman" w:cs="Times New Roman"/>
              </w:rPr>
            </w:pPr>
            <w:r w:rsidRPr="00223895">
              <w:rPr>
                <w:rFonts w:ascii="Times New Roman" w:hAnsi="Times New Roman" w:cs="Times New Roman"/>
              </w:rPr>
              <w:t>4,544</w:t>
            </w:r>
          </w:p>
        </w:tc>
        <w:tc>
          <w:tcPr>
            <w:tcW w:w="745" w:type="dxa"/>
            <w:gridSpan w:val="5"/>
          </w:tcPr>
          <w:p w:rsidR="001C63B1" w:rsidRPr="00223895" w:rsidRDefault="001C63B1" w:rsidP="001C63B1">
            <w:pPr>
              <w:rPr>
                <w:rFonts w:ascii="Times New Roman" w:hAnsi="Times New Roman"/>
              </w:rPr>
            </w:pPr>
            <w:r w:rsidRPr="00223895">
              <w:rPr>
                <w:rFonts w:ascii="Times New Roman" w:hAnsi="Times New Roman"/>
              </w:rPr>
              <w:t>4,544</w:t>
            </w:r>
          </w:p>
        </w:tc>
        <w:tc>
          <w:tcPr>
            <w:tcW w:w="844" w:type="dxa"/>
            <w:gridSpan w:val="3"/>
          </w:tcPr>
          <w:p w:rsidR="001C63B1" w:rsidRPr="00223895" w:rsidRDefault="001C63B1" w:rsidP="001C63B1">
            <w:pPr>
              <w:rPr>
                <w:rFonts w:ascii="Times New Roman" w:hAnsi="Times New Roman"/>
              </w:rPr>
            </w:pPr>
            <w:r w:rsidRPr="00223895">
              <w:rPr>
                <w:rFonts w:ascii="Times New Roman" w:hAnsi="Times New Roman"/>
              </w:rPr>
              <w:t>4,544</w:t>
            </w:r>
          </w:p>
        </w:tc>
      </w:tr>
      <w:tr w:rsidR="0061724B" w:rsidRPr="00223895" w:rsidTr="00DE63F3">
        <w:tc>
          <w:tcPr>
            <w:tcW w:w="2530" w:type="dxa"/>
            <w:gridSpan w:val="4"/>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1.5.2. Масса вредных веществ уловленных и обезвреженных, тыс. тонн</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1,309</w:t>
            </w:r>
          </w:p>
        </w:tc>
        <w:tc>
          <w:tcPr>
            <w:tcW w:w="733"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1,31</w:t>
            </w:r>
          </w:p>
        </w:tc>
        <w:tc>
          <w:tcPr>
            <w:tcW w:w="734"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1,32</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1,33</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1,34</w:t>
            </w:r>
          </w:p>
        </w:tc>
        <w:tc>
          <w:tcPr>
            <w:tcW w:w="738"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1,34</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1,35</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1,35</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1,36</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1,36</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1,37</w:t>
            </w:r>
          </w:p>
        </w:tc>
        <w:tc>
          <w:tcPr>
            <w:tcW w:w="733" w:type="dxa"/>
            <w:gridSpan w:val="3"/>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1,3</w:t>
            </w:r>
            <w:r w:rsidR="001C63B1" w:rsidRPr="00223895">
              <w:rPr>
                <w:rFonts w:ascii="Times New Roman" w:hAnsi="Times New Roman" w:cs="Times New Roman"/>
              </w:rPr>
              <w:t>7</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w:t>
            </w:r>
            <w:r w:rsidR="001C63B1" w:rsidRPr="00223895">
              <w:rPr>
                <w:rFonts w:ascii="Times New Roman" w:hAnsi="Times New Roman" w:cs="Times New Roman"/>
              </w:rPr>
              <w:t>,37</w:t>
            </w:r>
          </w:p>
        </w:tc>
        <w:tc>
          <w:tcPr>
            <w:tcW w:w="737" w:type="dxa"/>
            <w:gridSpan w:val="4"/>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1,3</w:t>
            </w:r>
            <w:r w:rsidR="001C63B1" w:rsidRPr="00223895">
              <w:rPr>
                <w:rFonts w:ascii="Times New Roman" w:hAnsi="Times New Roman" w:cs="Times New Roman"/>
              </w:rPr>
              <w:t>6</w:t>
            </w:r>
          </w:p>
        </w:tc>
        <w:tc>
          <w:tcPr>
            <w:tcW w:w="742" w:type="dxa"/>
            <w:gridSpan w:val="3"/>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1,3</w:t>
            </w:r>
            <w:r w:rsidR="001C63B1" w:rsidRPr="00223895">
              <w:rPr>
                <w:rFonts w:ascii="Times New Roman" w:hAnsi="Times New Roman" w:cs="Times New Roman"/>
              </w:rPr>
              <w:t>6</w:t>
            </w:r>
          </w:p>
        </w:tc>
        <w:tc>
          <w:tcPr>
            <w:tcW w:w="741" w:type="dxa"/>
            <w:gridSpan w:val="3"/>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1</w:t>
            </w:r>
            <w:r w:rsidR="001C63B1" w:rsidRPr="00223895">
              <w:rPr>
                <w:rFonts w:ascii="Times New Roman" w:hAnsi="Times New Roman" w:cs="Times New Roman"/>
              </w:rPr>
              <w:t>,36</w:t>
            </w:r>
          </w:p>
        </w:tc>
        <w:tc>
          <w:tcPr>
            <w:tcW w:w="745" w:type="dxa"/>
            <w:gridSpan w:val="5"/>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1,36</w:t>
            </w:r>
          </w:p>
        </w:tc>
        <w:tc>
          <w:tcPr>
            <w:tcW w:w="844"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1,36</w:t>
            </w:r>
          </w:p>
        </w:tc>
      </w:tr>
      <w:tr w:rsidR="0061724B" w:rsidRPr="00223895" w:rsidTr="00DE63F3">
        <w:tc>
          <w:tcPr>
            <w:tcW w:w="2530" w:type="dxa"/>
            <w:gridSpan w:val="4"/>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lastRenderedPageBreak/>
              <w:t>1.5.3. Объем сбросов загрязненных вод, млн. куб. м</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3,11</w:t>
            </w:r>
          </w:p>
        </w:tc>
        <w:tc>
          <w:tcPr>
            <w:tcW w:w="733"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3,10</w:t>
            </w:r>
          </w:p>
        </w:tc>
        <w:tc>
          <w:tcPr>
            <w:tcW w:w="734"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3,10</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3,09</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3,09</w:t>
            </w:r>
          </w:p>
        </w:tc>
        <w:tc>
          <w:tcPr>
            <w:tcW w:w="738"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3,08</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3,08</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3,07</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3,07</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3,06</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3,06</w:t>
            </w:r>
          </w:p>
        </w:tc>
        <w:tc>
          <w:tcPr>
            <w:tcW w:w="733"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3,04</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3,04</w:t>
            </w:r>
          </w:p>
        </w:tc>
        <w:tc>
          <w:tcPr>
            <w:tcW w:w="73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3,02</w:t>
            </w:r>
          </w:p>
        </w:tc>
        <w:tc>
          <w:tcPr>
            <w:tcW w:w="742"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3,02</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5" w:type="dxa"/>
            <w:gridSpan w:val="5"/>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844"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3,0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Стратегическая цель N 2. Улучшение демографической ситуации</w:t>
            </w:r>
          </w:p>
        </w:tc>
      </w:tr>
      <w:tr w:rsidR="0061724B" w:rsidRPr="00223895" w:rsidTr="00DE63F3">
        <w:tc>
          <w:tcPr>
            <w:tcW w:w="2530" w:type="dxa"/>
            <w:gridSpan w:val="4"/>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Естественная убыль населения, чел. на 1000 чел. населения</w:t>
            </w:r>
          </w:p>
        </w:tc>
        <w:tc>
          <w:tcPr>
            <w:tcW w:w="73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-4,6</w:t>
            </w:r>
          </w:p>
        </w:tc>
        <w:tc>
          <w:tcPr>
            <w:tcW w:w="733"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34"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-3,1</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w:t>
            </w:r>
          </w:p>
        </w:tc>
        <w:tc>
          <w:tcPr>
            <w:tcW w:w="733"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-0,5</w:t>
            </w:r>
          </w:p>
        </w:tc>
        <w:tc>
          <w:tcPr>
            <w:tcW w:w="738"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w:t>
            </w:r>
          </w:p>
        </w:tc>
        <w:tc>
          <w:tcPr>
            <w:tcW w:w="734"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-4,1</w:t>
            </w:r>
          </w:p>
        </w:tc>
        <w:tc>
          <w:tcPr>
            <w:tcW w:w="73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-3,2</w:t>
            </w:r>
          </w:p>
        </w:tc>
        <w:tc>
          <w:tcPr>
            <w:tcW w:w="734"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-4,8</w:t>
            </w:r>
          </w:p>
        </w:tc>
        <w:tc>
          <w:tcPr>
            <w:tcW w:w="733"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-8,1</w:t>
            </w:r>
          </w:p>
        </w:tc>
        <w:tc>
          <w:tcPr>
            <w:tcW w:w="734" w:type="dxa"/>
            <w:gridSpan w:val="4"/>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w:t>
            </w:r>
            <w:r w:rsidR="001C63B1" w:rsidRPr="00223895">
              <w:rPr>
                <w:rFonts w:ascii="Times New Roman" w:hAnsi="Times New Roman" w:cs="Times New Roman"/>
              </w:rPr>
              <w:t>1</w:t>
            </w:r>
            <w:r w:rsidRPr="00223895">
              <w:rPr>
                <w:rFonts w:ascii="Times New Roman" w:hAnsi="Times New Roman" w:cs="Times New Roman"/>
              </w:rPr>
              <w:t>2</w:t>
            </w:r>
            <w:r w:rsidR="001C63B1" w:rsidRPr="00223895">
              <w:rPr>
                <w:rFonts w:ascii="Times New Roman" w:hAnsi="Times New Roman" w:cs="Times New Roman"/>
              </w:rPr>
              <w:t>,6</w:t>
            </w:r>
          </w:p>
        </w:tc>
        <w:tc>
          <w:tcPr>
            <w:tcW w:w="737" w:type="dxa"/>
            <w:gridSpan w:val="4"/>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-8</w:t>
            </w:r>
            <w:r w:rsidR="001C63B1" w:rsidRPr="00223895">
              <w:rPr>
                <w:rFonts w:ascii="Times New Roman" w:hAnsi="Times New Roman" w:cs="Times New Roman"/>
              </w:rPr>
              <w:t>,0</w:t>
            </w:r>
          </w:p>
        </w:tc>
        <w:tc>
          <w:tcPr>
            <w:tcW w:w="742" w:type="dxa"/>
            <w:gridSpan w:val="3"/>
          </w:tcPr>
          <w:p w:rsidR="0061724B" w:rsidRPr="00223895" w:rsidRDefault="0061724B" w:rsidP="001C63B1">
            <w:pPr>
              <w:pStyle w:val="ConsPlusNormal"/>
              <w:jc w:val="center"/>
              <w:rPr>
                <w:rFonts w:ascii="Times New Roman" w:hAnsi="Times New Roman" w:cs="Times New Roman"/>
              </w:rPr>
            </w:pPr>
            <w:r w:rsidRPr="00223895">
              <w:rPr>
                <w:rFonts w:ascii="Times New Roman" w:hAnsi="Times New Roman" w:cs="Times New Roman"/>
              </w:rPr>
              <w:t>-</w:t>
            </w:r>
            <w:r w:rsidR="001C63B1" w:rsidRPr="00223895">
              <w:rPr>
                <w:rFonts w:ascii="Times New Roman" w:hAnsi="Times New Roman" w:cs="Times New Roman"/>
              </w:rPr>
              <w:t>8</w:t>
            </w:r>
            <w:r w:rsidRPr="00223895">
              <w:rPr>
                <w:rFonts w:ascii="Times New Roman" w:hAnsi="Times New Roman" w:cs="Times New Roman"/>
              </w:rPr>
              <w:t>,</w:t>
            </w:r>
            <w:r w:rsidR="001C63B1" w:rsidRPr="00223895">
              <w:rPr>
                <w:rFonts w:ascii="Times New Roman" w:hAnsi="Times New Roman" w:cs="Times New Roman"/>
              </w:rPr>
              <w:t>0</w:t>
            </w:r>
          </w:p>
        </w:tc>
        <w:tc>
          <w:tcPr>
            <w:tcW w:w="741"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w:t>
            </w:r>
            <w:r w:rsidR="001C63B1" w:rsidRPr="00223895">
              <w:rPr>
                <w:rFonts w:ascii="Times New Roman" w:hAnsi="Times New Roman" w:cs="Times New Roman"/>
              </w:rPr>
              <w:t>8,0</w:t>
            </w:r>
          </w:p>
        </w:tc>
        <w:tc>
          <w:tcPr>
            <w:tcW w:w="745" w:type="dxa"/>
            <w:gridSpan w:val="5"/>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-7,8</w:t>
            </w:r>
          </w:p>
        </w:tc>
        <w:tc>
          <w:tcPr>
            <w:tcW w:w="844"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-7,8</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2.1. Обеспечение проведения эффективной демографической политики, включая стимулирование рождаемости, обеспечение эффективного миграционного баланса</w:t>
            </w:r>
          </w:p>
        </w:tc>
      </w:tr>
      <w:tr w:rsidR="0061724B" w:rsidRPr="00223895" w:rsidTr="00DE63F3">
        <w:tc>
          <w:tcPr>
            <w:tcW w:w="2434" w:type="dxa"/>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2.1.1. Рождаемость населения, на 1000 чел. населения</w:t>
            </w:r>
          </w:p>
        </w:tc>
        <w:tc>
          <w:tcPr>
            <w:tcW w:w="728"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13,4</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13,9</w:t>
            </w:r>
          </w:p>
        </w:tc>
        <w:tc>
          <w:tcPr>
            <w:tcW w:w="739"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12,9</w:t>
            </w:r>
          </w:p>
        </w:tc>
        <w:tc>
          <w:tcPr>
            <w:tcW w:w="739"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40"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15,3</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12,8</w:t>
            </w:r>
          </w:p>
        </w:tc>
        <w:tc>
          <w:tcPr>
            <w:tcW w:w="73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12,9</w:t>
            </w:r>
          </w:p>
        </w:tc>
        <w:tc>
          <w:tcPr>
            <w:tcW w:w="73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10,4</w:t>
            </w:r>
          </w:p>
        </w:tc>
        <w:tc>
          <w:tcPr>
            <w:tcW w:w="73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11,2</w:t>
            </w:r>
          </w:p>
        </w:tc>
        <w:tc>
          <w:tcPr>
            <w:tcW w:w="757" w:type="dxa"/>
            <w:gridSpan w:val="5"/>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0"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3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8,8</w:t>
            </w:r>
          </w:p>
        </w:tc>
        <w:tc>
          <w:tcPr>
            <w:tcW w:w="743"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9" w:type="dxa"/>
            <w:gridSpan w:val="4"/>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1"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5" w:type="dxa"/>
            <w:gridSpan w:val="5"/>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9,1</w:t>
            </w:r>
          </w:p>
        </w:tc>
        <w:tc>
          <w:tcPr>
            <w:tcW w:w="844" w:type="dxa"/>
            <w:gridSpan w:val="3"/>
          </w:tcPr>
          <w:p w:rsidR="0061724B" w:rsidRPr="00223895" w:rsidRDefault="001C63B1" w:rsidP="00DE63F3">
            <w:pPr>
              <w:pStyle w:val="ConsPlusNormal"/>
              <w:jc w:val="center"/>
              <w:rPr>
                <w:rFonts w:ascii="Times New Roman" w:hAnsi="Times New Roman" w:cs="Times New Roman"/>
              </w:rPr>
            </w:pPr>
            <w:r w:rsidRPr="00223895">
              <w:rPr>
                <w:rFonts w:ascii="Times New Roman" w:hAnsi="Times New Roman" w:cs="Times New Roman"/>
              </w:rPr>
              <w:t>9,1</w:t>
            </w:r>
          </w:p>
        </w:tc>
      </w:tr>
      <w:tr w:rsidR="0061724B" w:rsidRPr="00223895" w:rsidTr="00DE63F3">
        <w:tc>
          <w:tcPr>
            <w:tcW w:w="2434" w:type="dxa"/>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2.1.2. Смертность населения, на 1000 человек населения</w:t>
            </w:r>
          </w:p>
        </w:tc>
        <w:tc>
          <w:tcPr>
            <w:tcW w:w="728"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18,0</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17,2</w:t>
            </w:r>
          </w:p>
        </w:tc>
        <w:tc>
          <w:tcPr>
            <w:tcW w:w="739"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15,6</w:t>
            </w:r>
          </w:p>
        </w:tc>
        <w:tc>
          <w:tcPr>
            <w:tcW w:w="739"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16,3</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15,0</w:t>
            </w:r>
          </w:p>
        </w:tc>
        <w:tc>
          <w:tcPr>
            <w:tcW w:w="740"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15,3</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15,8</w:t>
            </w:r>
          </w:p>
        </w:tc>
        <w:tc>
          <w:tcPr>
            <w:tcW w:w="73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14,6</w:t>
            </w:r>
          </w:p>
        </w:tc>
        <w:tc>
          <w:tcPr>
            <w:tcW w:w="73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39"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14,4</w:t>
            </w:r>
          </w:p>
        </w:tc>
        <w:tc>
          <w:tcPr>
            <w:tcW w:w="757" w:type="dxa"/>
            <w:gridSpan w:val="5"/>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13,8</w:t>
            </w:r>
          </w:p>
        </w:tc>
        <w:tc>
          <w:tcPr>
            <w:tcW w:w="740"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17,1</w:t>
            </w:r>
          </w:p>
        </w:tc>
        <w:tc>
          <w:tcPr>
            <w:tcW w:w="739"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21,4</w:t>
            </w:r>
          </w:p>
        </w:tc>
        <w:tc>
          <w:tcPr>
            <w:tcW w:w="743"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17,0</w:t>
            </w:r>
          </w:p>
        </w:tc>
        <w:tc>
          <w:tcPr>
            <w:tcW w:w="749"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17,0</w:t>
            </w:r>
          </w:p>
        </w:tc>
        <w:tc>
          <w:tcPr>
            <w:tcW w:w="741" w:type="dxa"/>
            <w:gridSpan w:val="3"/>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17,0</w:t>
            </w:r>
          </w:p>
        </w:tc>
        <w:tc>
          <w:tcPr>
            <w:tcW w:w="745" w:type="dxa"/>
            <w:gridSpan w:val="5"/>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16,9</w:t>
            </w:r>
          </w:p>
        </w:tc>
        <w:tc>
          <w:tcPr>
            <w:tcW w:w="844" w:type="dxa"/>
            <w:gridSpan w:val="3"/>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16,9</w:t>
            </w:r>
          </w:p>
        </w:tc>
      </w:tr>
      <w:tr w:rsidR="0061724B" w:rsidRPr="00223895" w:rsidTr="00DE63F3">
        <w:tc>
          <w:tcPr>
            <w:tcW w:w="15876" w:type="dxa"/>
            <w:gridSpan w:val="89"/>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Стратегическая цель N 3. Создание сбалансированной и конкурентной экономики</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Отгрузка товаров собственного производства, выполнение работ и услуг собственными силами, млрд. руб.</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4,3</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5,9</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10,6</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18,8</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21,5</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23,8</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26,5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29,2</w:t>
            </w:r>
          </w:p>
        </w:tc>
        <w:tc>
          <w:tcPr>
            <w:tcW w:w="742"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31,7</w:t>
            </w:r>
          </w:p>
        </w:tc>
        <w:tc>
          <w:tcPr>
            <w:tcW w:w="742" w:type="dxa"/>
            <w:gridSpan w:val="5"/>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38,2</w:t>
            </w:r>
          </w:p>
        </w:tc>
        <w:tc>
          <w:tcPr>
            <w:tcW w:w="741"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50,4</w:t>
            </w:r>
          </w:p>
        </w:tc>
        <w:tc>
          <w:tcPr>
            <w:tcW w:w="742" w:type="dxa"/>
            <w:gridSpan w:val="4"/>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60,5</w:t>
            </w:r>
          </w:p>
        </w:tc>
        <w:tc>
          <w:tcPr>
            <w:tcW w:w="743" w:type="dxa"/>
            <w:gridSpan w:val="3"/>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72,5</w:t>
            </w:r>
          </w:p>
        </w:tc>
        <w:tc>
          <w:tcPr>
            <w:tcW w:w="742" w:type="dxa"/>
            <w:gridSpan w:val="3"/>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80,8</w:t>
            </w:r>
          </w:p>
        </w:tc>
        <w:tc>
          <w:tcPr>
            <w:tcW w:w="742" w:type="dxa"/>
            <w:gridSpan w:val="5"/>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93</w:t>
            </w:r>
          </w:p>
        </w:tc>
        <w:tc>
          <w:tcPr>
            <w:tcW w:w="831" w:type="dxa"/>
            <w:gridSpan w:val="2"/>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100</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Доля отгрузки продукции сельского хозяйства в общем объеме отгрузки, %</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15,6</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16,8</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15,7</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15,7</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15,6</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15,6</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15,4</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15,3</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15,2</w:t>
            </w:r>
          </w:p>
        </w:tc>
        <w:tc>
          <w:tcPr>
            <w:tcW w:w="741"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15,0</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43"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42"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14,0</w:t>
            </w:r>
          </w:p>
        </w:tc>
        <w:tc>
          <w:tcPr>
            <w:tcW w:w="742" w:type="dxa"/>
            <w:gridSpan w:val="5"/>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14,0</w:t>
            </w:r>
          </w:p>
        </w:tc>
        <w:tc>
          <w:tcPr>
            <w:tcW w:w="831" w:type="dxa"/>
            <w:gridSpan w:val="2"/>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14,0</w:t>
            </w:r>
          </w:p>
        </w:tc>
      </w:tr>
      <w:tr w:rsidR="0061724B" w:rsidRPr="00223895" w:rsidTr="00DE63F3">
        <w:tc>
          <w:tcPr>
            <w:tcW w:w="15876" w:type="dxa"/>
            <w:gridSpan w:val="89"/>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Задача 3.1. Создание и развитие особых экономических зон регионального уровня</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 xml:space="preserve">3.1.1. Количество предприятий резидентов и участников особых экономических зон федерального и </w:t>
            </w:r>
            <w:r w:rsidRPr="00223895">
              <w:rPr>
                <w:rFonts w:ascii="Times New Roman" w:hAnsi="Times New Roman" w:cs="Times New Roman"/>
              </w:rPr>
              <w:lastRenderedPageBreak/>
              <w:t>регионального уровней, единиц</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17</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19</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21</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22</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54</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57</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59</w:t>
            </w:r>
          </w:p>
        </w:tc>
        <w:tc>
          <w:tcPr>
            <w:tcW w:w="741"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59</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60</w:t>
            </w:r>
          </w:p>
        </w:tc>
        <w:tc>
          <w:tcPr>
            <w:tcW w:w="743"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60</w:t>
            </w:r>
          </w:p>
        </w:tc>
        <w:tc>
          <w:tcPr>
            <w:tcW w:w="742"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61</w:t>
            </w:r>
          </w:p>
        </w:tc>
        <w:tc>
          <w:tcPr>
            <w:tcW w:w="742" w:type="dxa"/>
            <w:gridSpan w:val="5"/>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61</w:t>
            </w:r>
          </w:p>
        </w:tc>
        <w:tc>
          <w:tcPr>
            <w:tcW w:w="831" w:type="dxa"/>
            <w:gridSpan w:val="2"/>
          </w:tcPr>
          <w:p w:rsidR="0061724B" w:rsidRPr="00223895" w:rsidRDefault="00647997" w:rsidP="00DE63F3">
            <w:pPr>
              <w:pStyle w:val="ConsPlusNormal"/>
              <w:jc w:val="center"/>
              <w:rPr>
                <w:rFonts w:ascii="Times New Roman" w:hAnsi="Times New Roman" w:cs="Times New Roman"/>
              </w:rPr>
            </w:pPr>
            <w:r w:rsidRPr="00223895">
              <w:rPr>
                <w:rFonts w:ascii="Times New Roman" w:hAnsi="Times New Roman" w:cs="Times New Roman"/>
              </w:rPr>
              <w:t>61</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3.1.2. Доля продукции, производимых в особых экономических зонах федерального и регионального уровня, % от общего объема отгруженной продукции</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43</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60</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65</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1"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3"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42"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42" w:type="dxa"/>
            <w:gridSpan w:val="5"/>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831" w:type="dxa"/>
            <w:gridSpan w:val="2"/>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75</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3.2. Повышение уровня конкурентоспособности предприятий и организаций</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3.2.1. Доля экспортно ориентированной продукции в общем объеме отгрузки, %</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1"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w:t>
            </w:r>
          </w:p>
        </w:tc>
        <w:tc>
          <w:tcPr>
            <w:tcW w:w="743"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w:t>
            </w:r>
          </w:p>
        </w:tc>
        <w:tc>
          <w:tcPr>
            <w:tcW w:w="742"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2" w:type="dxa"/>
            <w:gridSpan w:val="5"/>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831" w:type="dxa"/>
            <w:gridSpan w:val="2"/>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45</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3.2.2. Объем промышленного производства, млрд. руб.</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3,2</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4,9</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7,6</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9,3</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12,4</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14,7</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17,6</w:t>
            </w:r>
          </w:p>
        </w:tc>
        <w:tc>
          <w:tcPr>
            <w:tcW w:w="742" w:type="dxa"/>
            <w:gridSpan w:val="6"/>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20,8</w:t>
            </w:r>
          </w:p>
        </w:tc>
        <w:tc>
          <w:tcPr>
            <w:tcW w:w="742" w:type="dxa"/>
            <w:gridSpan w:val="5"/>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23,4</w:t>
            </w:r>
          </w:p>
        </w:tc>
        <w:tc>
          <w:tcPr>
            <w:tcW w:w="742" w:type="dxa"/>
            <w:gridSpan w:val="4"/>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25,1</w:t>
            </w:r>
          </w:p>
        </w:tc>
        <w:tc>
          <w:tcPr>
            <w:tcW w:w="742" w:type="dxa"/>
            <w:gridSpan w:val="5"/>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32,2</w:t>
            </w:r>
          </w:p>
        </w:tc>
        <w:tc>
          <w:tcPr>
            <w:tcW w:w="741" w:type="dxa"/>
            <w:gridSpan w:val="4"/>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44,4</w:t>
            </w:r>
          </w:p>
        </w:tc>
        <w:tc>
          <w:tcPr>
            <w:tcW w:w="742" w:type="dxa"/>
            <w:gridSpan w:val="4"/>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56,5</w:t>
            </w:r>
          </w:p>
        </w:tc>
        <w:tc>
          <w:tcPr>
            <w:tcW w:w="743" w:type="dxa"/>
            <w:gridSpan w:val="3"/>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66,5</w:t>
            </w:r>
          </w:p>
        </w:tc>
        <w:tc>
          <w:tcPr>
            <w:tcW w:w="742" w:type="dxa"/>
            <w:gridSpan w:val="3"/>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74,8</w:t>
            </w:r>
          </w:p>
        </w:tc>
        <w:tc>
          <w:tcPr>
            <w:tcW w:w="742" w:type="dxa"/>
            <w:gridSpan w:val="5"/>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87,0</w:t>
            </w:r>
          </w:p>
        </w:tc>
        <w:tc>
          <w:tcPr>
            <w:tcW w:w="831" w:type="dxa"/>
            <w:gridSpan w:val="2"/>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94,3</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3.2.3. Объем производства продукции сельского хозяйства, млрд. руб.</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0,67</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0,98</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1,03</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1,09</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1,14</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1,26</w:t>
            </w:r>
          </w:p>
        </w:tc>
        <w:tc>
          <w:tcPr>
            <w:tcW w:w="743" w:type="dxa"/>
            <w:gridSpan w:val="5"/>
          </w:tcPr>
          <w:p w:rsidR="0061724B" w:rsidRPr="00223895" w:rsidRDefault="00C63C3A" w:rsidP="00DE63F3">
            <w:pPr>
              <w:pStyle w:val="ConsPlusNormal"/>
              <w:jc w:val="center"/>
              <w:rPr>
                <w:rFonts w:ascii="Times New Roman" w:hAnsi="Times New Roman" w:cs="Times New Roman"/>
              </w:rPr>
            </w:pPr>
            <w:r w:rsidRPr="00223895">
              <w:rPr>
                <w:rFonts w:ascii="Times New Roman" w:hAnsi="Times New Roman" w:cs="Times New Roman"/>
              </w:rPr>
              <w:t>3,6</w:t>
            </w:r>
          </w:p>
        </w:tc>
        <w:tc>
          <w:tcPr>
            <w:tcW w:w="742" w:type="dxa"/>
            <w:gridSpan w:val="6"/>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42"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5,8</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6,6</w:t>
            </w:r>
          </w:p>
        </w:tc>
        <w:tc>
          <w:tcPr>
            <w:tcW w:w="741"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7,7</w:t>
            </w:r>
          </w:p>
        </w:tc>
        <w:tc>
          <w:tcPr>
            <w:tcW w:w="742"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3"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9,3</w:t>
            </w:r>
          </w:p>
        </w:tc>
        <w:tc>
          <w:tcPr>
            <w:tcW w:w="742"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9,4</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9,5</w:t>
            </w:r>
          </w:p>
        </w:tc>
        <w:tc>
          <w:tcPr>
            <w:tcW w:w="831" w:type="dxa"/>
            <w:gridSpan w:val="2"/>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9,6</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3.2.4. Объем инвестиций в основной капитал, млрд. руб.</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5,4</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7,8</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8,8</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7,8</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8,1</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18,6</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18,8</w:t>
            </w:r>
          </w:p>
        </w:tc>
        <w:tc>
          <w:tcPr>
            <w:tcW w:w="742"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14,4</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14,1</w:t>
            </w:r>
          </w:p>
        </w:tc>
        <w:tc>
          <w:tcPr>
            <w:tcW w:w="741"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14,1</w:t>
            </w:r>
          </w:p>
        </w:tc>
        <w:tc>
          <w:tcPr>
            <w:tcW w:w="742"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14,1</w:t>
            </w:r>
          </w:p>
        </w:tc>
        <w:tc>
          <w:tcPr>
            <w:tcW w:w="743"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14,3</w:t>
            </w:r>
          </w:p>
        </w:tc>
        <w:tc>
          <w:tcPr>
            <w:tcW w:w="742"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14,5</w:t>
            </w:r>
          </w:p>
        </w:tc>
        <w:tc>
          <w:tcPr>
            <w:tcW w:w="831" w:type="dxa"/>
            <w:gridSpan w:val="2"/>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14,5</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3.2.5. Удельный вес прибыльных предприятий, %</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82</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88</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81</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85</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90</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2" w:type="dxa"/>
            <w:gridSpan w:val="4"/>
          </w:tcPr>
          <w:p w:rsidR="0061724B" w:rsidRPr="00223895" w:rsidRDefault="0061724B" w:rsidP="002A7AFF">
            <w:pPr>
              <w:pStyle w:val="ConsPlusNormal"/>
              <w:jc w:val="center"/>
              <w:rPr>
                <w:rFonts w:ascii="Times New Roman" w:hAnsi="Times New Roman" w:cs="Times New Roman"/>
              </w:rPr>
            </w:pPr>
            <w:r w:rsidRPr="00223895">
              <w:rPr>
                <w:rFonts w:ascii="Times New Roman" w:hAnsi="Times New Roman" w:cs="Times New Roman"/>
              </w:rPr>
              <w:t>7</w:t>
            </w:r>
            <w:r w:rsidR="002A7AFF" w:rsidRPr="00223895">
              <w:rPr>
                <w:rFonts w:ascii="Times New Roman" w:hAnsi="Times New Roman" w:cs="Times New Roman"/>
              </w:rPr>
              <w:t>1,4</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59,1</w:t>
            </w:r>
          </w:p>
        </w:tc>
        <w:tc>
          <w:tcPr>
            <w:tcW w:w="741"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70,5</w:t>
            </w:r>
          </w:p>
        </w:tc>
        <w:tc>
          <w:tcPr>
            <w:tcW w:w="742"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68,0</w:t>
            </w:r>
          </w:p>
        </w:tc>
        <w:tc>
          <w:tcPr>
            <w:tcW w:w="743"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69,0</w:t>
            </w:r>
          </w:p>
        </w:tc>
        <w:tc>
          <w:tcPr>
            <w:tcW w:w="742"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70,0</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71,0</w:t>
            </w:r>
          </w:p>
        </w:tc>
        <w:tc>
          <w:tcPr>
            <w:tcW w:w="831" w:type="dxa"/>
            <w:gridSpan w:val="2"/>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71,5</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3.3. Создание условий для повышения уровня инновационного развития предприятий и организаций</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3.3.1. Доля предприятий, осуществляющих технологические инновации, %</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12</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1"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2"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43</w:t>
            </w:r>
          </w:p>
        </w:tc>
        <w:tc>
          <w:tcPr>
            <w:tcW w:w="743"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42"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48</w:t>
            </w:r>
          </w:p>
        </w:tc>
        <w:tc>
          <w:tcPr>
            <w:tcW w:w="831" w:type="dxa"/>
            <w:gridSpan w:val="2"/>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50</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lastRenderedPageBreak/>
              <w:t>3.3.2. Удельный вес отгруженной продукции инновационного характера в общем объеме отгруженной продукции, %</w:t>
            </w:r>
          </w:p>
        </w:tc>
        <w:tc>
          <w:tcPr>
            <w:tcW w:w="740"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w:t>
            </w:r>
          </w:p>
        </w:tc>
        <w:tc>
          <w:tcPr>
            <w:tcW w:w="739"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w:t>
            </w:r>
          </w:p>
        </w:tc>
        <w:tc>
          <w:tcPr>
            <w:tcW w:w="742"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w:t>
            </w:r>
          </w:p>
        </w:tc>
        <w:tc>
          <w:tcPr>
            <w:tcW w:w="741"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w:t>
            </w:r>
          </w:p>
        </w:tc>
        <w:tc>
          <w:tcPr>
            <w:tcW w:w="743"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w:t>
            </w:r>
          </w:p>
        </w:tc>
        <w:tc>
          <w:tcPr>
            <w:tcW w:w="742"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2"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1"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2"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w:t>
            </w:r>
          </w:p>
        </w:tc>
        <w:tc>
          <w:tcPr>
            <w:tcW w:w="743"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2"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42"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831" w:type="dxa"/>
            <w:gridSpan w:val="2"/>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55</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3.4. Увеличение объемов жилищного строительства</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3.4.1. Общий ввод жилья, тыс. кв. м</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42,1</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43,0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45,2</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57,0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58,2</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62,7</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63,6</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64,3</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64,7</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65,2</w:t>
            </w:r>
          </w:p>
        </w:tc>
        <w:tc>
          <w:tcPr>
            <w:tcW w:w="747"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67,1</w:t>
            </w:r>
          </w:p>
        </w:tc>
        <w:tc>
          <w:tcPr>
            <w:tcW w:w="747"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68,0</w:t>
            </w:r>
          </w:p>
        </w:tc>
        <w:tc>
          <w:tcPr>
            <w:tcW w:w="746"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72,9</w:t>
            </w:r>
          </w:p>
        </w:tc>
        <w:tc>
          <w:tcPr>
            <w:tcW w:w="747"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73,0</w:t>
            </w:r>
          </w:p>
        </w:tc>
        <w:tc>
          <w:tcPr>
            <w:tcW w:w="747"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73,5</w:t>
            </w:r>
          </w:p>
        </w:tc>
        <w:tc>
          <w:tcPr>
            <w:tcW w:w="746"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73,8</w:t>
            </w:r>
          </w:p>
        </w:tc>
        <w:tc>
          <w:tcPr>
            <w:tcW w:w="747"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74,0</w:t>
            </w:r>
          </w:p>
        </w:tc>
        <w:tc>
          <w:tcPr>
            <w:tcW w:w="747" w:type="dxa"/>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74,0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3.5. Развитие дорожной сети и транспортного обслуживания</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3.5.1.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96,9</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97,1</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97,2</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97,3</w:t>
            </w:r>
          </w:p>
        </w:tc>
        <w:tc>
          <w:tcPr>
            <w:tcW w:w="746"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97,4</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97,5</w:t>
            </w:r>
          </w:p>
        </w:tc>
        <w:tc>
          <w:tcPr>
            <w:tcW w:w="747"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97,6</w:t>
            </w:r>
          </w:p>
        </w:tc>
        <w:tc>
          <w:tcPr>
            <w:tcW w:w="746"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97,7</w:t>
            </w:r>
          </w:p>
        </w:tc>
        <w:tc>
          <w:tcPr>
            <w:tcW w:w="747"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97,7</w:t>
            </w:r>
          </w:p>
        </w:tc>
        <w:tc>
          <w:tcPr>
            <w:tcW w:w="747" w:type="dxa"/>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97,7</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3.5.2. Доля дорог, не соответствующих нормативным требованиям,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0</w:t>
            </w:r>
          </w:p>
        </w:tc>
        <w:tc>
          <w:tcPr>
            <w:tcW w:w="746" w:type="dxa"/>
            <w:gridSpan w:val="5"/>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8,4</w:t>
            </w:r>
          </w:p>
        </w:tc>
        <w:tc>
          <w:tcPr>
            <w:tcW w:w="747"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8,3</w:t>
            </w:r>
          </w:p>
        </w:tc>
        <w:tc>
          <w:tcPr>
            <w:tcW w:w="747"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7,3</w:t>
            </w:r>
          </w:p>
        </w:tc>
        <w:tc>
          <w:tcPr>
            <w:tcW w:w="746"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7,65</w:t>
            </w:r>
          </w:p>
        </w:tc>
        <w:tc>
          <w:tcPr>
            <w:tcW w:w="747" w:type="dxa"/>
            <w:gridSpan w:val="4"/>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7,3</w:t>
            </w:r>
          </w:p>
        </w:tc>
        <w:tc>
          <w:tcPr>
            <w:tcW w:w="747" w:type="dxa"/>
            <w:gridSpan w:val="3"/>
          </w:tcPr>
          <w:p w:rsidR="0061724B" w:rsidRPr="00223895" w:rsidRDefault="002A7AFF" w:rsidP="00DE63F3">
            <w:pPr>
              <w:pStyle w:val="ConsPlusNormal"/>
              <w:jc w:val="center"/>
              <w:rPr>
                <w:rFonts w:ascii="Times New Roman" w:hAnsi="Times New Roman" w:cs="Times New Roman"/>
              </w:rPr>
            </w:pPr>
            <w:r w:rsidRPr="00223895">
              <w:rPr>
                <w:rFonts w:ascii="Times New Roman" w:hAnsi="Times New Roman" w:cs="Times New Roman"/>
              </w:rPr>
              <w:t>7,0</w:t>
            </w:r>
          </w:p>
        </w:tc>
        <w:tc>
          <w:tcPr>
            <w:tcW w:w="746"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6,8</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6,5</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6,2</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3.6. Создание благоприятных условий для развития малого и среднего предпринимательства</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3.6.1. Количество субъектов малого и среднего предпринимательства, на 1 тыс. чел.</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33</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32,6</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32,0</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27,6</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27,2</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25,4</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27,2</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27,4</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27,6</w:t>
            </w:r>
          </w:p>
        </w:tc>
        <w:tc>
          <w:tcPr>
            <w:tcW w:w="746"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27,6</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27,8</w:t>
            </w:r>
          </w:p>
        </w:tc>
        <w:tc>
          <w:tcPr>
            <w:tcW w:w="747"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27,8</w:t>
            </w:r>
          </w:p>
        </w:tc>
        <w:tc>
          <w:tcPr>
            <w:tcW w:w="746"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28</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28,5</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29,0</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 xml:space="preserve">3.6.2. Доля среднесписочной численности работников </w:t>
            </w:r>
            <w:r w:rsidRPr="00223895">
              <w:rPr>
                <w:rFonts w:ascii="Times New Roman" w:hAnsi="Times New Roman" w:cs="Times New Roman"/>
              </w:rPr>
              <w:lastRenderedPageBreak/>
              <w:t>малых и средних предприятий в общей численности работников всех предприятий и организаций,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20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23</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24</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26</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15,7</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16,8</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17,1</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17,4</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17,6</w:t>
            </w:r>
          </w:p>
        </w:tc>
        <w:tc>
          <w:tcPr>
            <w:tcW w:w="746"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17,8</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17,8</w:t>
            </w:r>
          </w:p>
        </w:tc>
        <w:tc>
          <w:tcPr>
            <w:tcW w:w="747"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18,0</w:t>
            </w:r>
          </w:p>
        </w:tc>
        <w:tc>
          <w:tcPr>
            <w:tcW w:w="746"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18,2</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18,5</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Стратегическая цель N 4. Улучшение качества муниципального управления, повышение его эффективности</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Удовлетворенность населения деятельностью органов местного самоуправления муниципального района, в том числе информативной открытостью, процент от числа опрошенных</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45,3</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45,8</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46,2</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46,5</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46,8</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47,5</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47,9</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48,2</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48,7</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50,0</w:t>
            </w:r>
          </w:p>
        </w:tc>
        <w:tc>
          <w:tcPr>
            <w:tcW w:w="746"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52,2</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54,3</w:t>
            </w:r>
          </w:p>
        </w:tc>
        <w:tc>
          <w:tcPr>
            <w:tcW w:w="747"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55,5</w:t>
            </w:r>
          </w:p>
        </w:tc>
        <w:tc>
          <w:tcPr>
            <w:tcW w:w="746"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56,3</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56,5</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4.1. Создание и внедрение системы эффективного управления в муниципальном районе</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4.1.1. Расходы консолидированного бюджета муниципального района в части расходов на содержание работников органов местного самоуправления, на 1 человека, тыс. р.</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1383</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1387</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1518</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1518</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1542</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1618</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1625</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1625</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1625</w:t>
            </w:r>
          </w:p>
        </w:tc>
        <w:tc>
          <w:tcPr>
            <w:tcW w:w="746"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1531,7</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1596,2</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1767,9</w:t>
            </w:r>
          </w:p>
        </w:tc>
        <w:tc>
          <w:tcPr>
            <w:tcW w:w="746"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2431,3</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2504,1</w:t>
            </w:r>
          </w:p>
        </w:tc>
        <w:tc>
          <w:tcPr>
            <w:tcW w:w="747"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2249,2</w:t>
            </w:r>
          </w:p>
        </w:tc>
        <w:tc>
          <w:tcPr>
            <w:tcW w:w="746"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2198</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2198</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2198</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4.1.2. Доля муниципальных служащих, прошедших профессиональную переподготовку, повышение квалификации, стажировку,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18,7</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15,9</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13,0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6"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6"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79,0</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40,0</w:t>
            </w:r>
          </w:p>
        </w:tc>
        <w:tc>
          <w:tcPr>
            <w:tcW w:w="747"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6"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30,0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4.2. Внедрение программно-целевого бюджетирования</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 xml:space="preserve">4.2.1. Доля расходов </w:t>
            </w:r>
            <w:r w:rsidRPr="00223895">
              <w:rPr>
                <w:rFonts w:ascii="Times New Roman" w:hAnsi="Times New Roman" w:cs="Times New Roman"/>
              </w:rPr>
              <w:lastRenderedPageBreak/>
              <w:t>консолидированного бюджета муниципального района, формируемых в рамках программ, в общем объеме расходов консолидированного бюджета муниципального района, без учета субвенций на исполнение делегируемых полномочий,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lastRenderedPageBreak/>
              <w:t>14,7</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63,0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71,2</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72,4</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75,0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80,0</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6"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6"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100</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100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4.3. Повышение результативности стратегического планирования, выравнивание социально-экономического развития</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4.3.1. Удельный вес поселений, обеспечивающих 100% реализацию целевых индикаторов Стратегических планов социально-экономического развития,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10</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15</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20</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25</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30</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35</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40</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45</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6"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7" w:type="dxa"/>
            <w:gridSpan w:val="4"/>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7"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6" w:type="dxa"/>
            <w:gridSpan w:val="3"/>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55</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55</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4.3.2. Доля доходов бюджета муниципального района, без учета субвенций и дотаций на выравнивание уровня бюджетной обеспеченности, в общем объеме доходов консолидированного бюджета муниципального района, %</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39,8</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38,6</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38,9</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44,6</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55,5</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61,5</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58,6</w:t>
            </w: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66,7</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58,8</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49,1</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57,04</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55,72</w:t>
            </w:r>
          </w:p>
        </w:tc>
        <w:tc>
          <w:tcPr>
            <w:tcW w:w="746"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67,05</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70,66</w:t>
            </w:r>
          </w:p>
        </w:tc>
        <w:tc>
          <w:tcPr>
            <w:tcW w:w="747"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70,66</w:t>
            </w:r>
          </w:p>
        </w:tc>
        <w:tc>
          <w:tcPr>
            <w:tcW w:w="746"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72,0</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75,0</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78,0</w:t>
            </w:r>
          </w:p>
        </w:tc>
      </w:tr>
      <w:tr w:rsidR="0061724B" w:rsidRPr="00223895" w:rsidTr="00DE63F3">
        <w:tc>
          <w:tcPr>
            <w:tcW w:w="15876" w:type="dxa"/>
            <w:gridSpan w:val="89"/>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Задача 4.4. Обеспечение сбалансированного пространственного развития Грязинского муниципального образования</w:t>
            </w:r>
          </w:p>
        </w:tc>
      </w:tr>
      <w:tr w:rsidR="0061724B" w:rsidRPr="00223895" w:rsidTr="00DE63F3">
        <w:tc>
          <w:tcPr>
            <w:tcW w:w="2436" w:type="dxa"/>
            <w:gridSpan w:val="2"/>
          </w:tcPr>
          <w:p w:rsidR="0061724B" w:rsidRPr="00223895" w:rsidRDefault="0061724B" w:rsidP="00DE63F3">
            <w:pPr>
              <w:pStyle w:val="ConsPlusNormal"/>
              <w:rPr>
                <w:rFonts w:ascii="Times New Roman" w:hAnsi="Times New Roman" w:cs="Times New Roman"/>
              </w:rPr>
            </w:pPr>
            <w:r w:rsidRPr="00223895">
              <w:rPr>
                <w:rFonts w:ascii="Times New Roman" w:hAnsi="Times New Roman" w:cs="Times New Roman"/>
              </w:rPr>
              <w:t>4.4.1. Плотность населения</w:t>
            </w:r>
          </w:p>
        </w:tc>
        <w:tc>
          <w:tcPr>
            <w:tcW w:w="746" w:type="dxa"/>
            <w:gridSpan w:val="5"/>
          </w:tcPr>
          <w:p w:rsidR="0061724B" w:rsidRPr="00223895" w:rsidRDefault="0061724B" w:rsidP="00DE63F3">
            <w:pPr>
              <w:pStyle w:val="ConsPlusNormal"/>
              <w:rPr>
                <w:rFonts w:ascii="Times New Roman" w:hAnsi="Times New Roman" w:cs="Times New Roman"/>
              </w:rPr>
            </w:pPr>
          </w:p>
        </w:tc>
        <w:tc>
          <w:tcPr>
            <w:tcW w:w="747" w:type="dxa"/>
            <w:gridSpan w:val="6"/>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53,9</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55,8</w:t>
            </w:r>
          </w:p>
        </w:tc>
        <w:tc>
          <w:tcPr>
            <w:tcW w:w="746" w:type="dxa"/>
            <w:gridSpan w:val="8"/>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56,2</w:t>
            </w:r>
          </w:p>
        </w:tc>
        <w:tc>
          <w:tcPr>
            <w:tcW w:w="747" w:type="dxa"/>
            <w:gridSpan w:val="7"/>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56,8</w:t>
            </w:r>
          </w:p>
        </w:tc>
        <w:tc>
          <w:tcPr>
            <w:tcW w:w="747"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56,8</w:t>
            </w:r>
          </w:p>
        </w:tc>
        <w:tc>
          <w:tcPr>
            <w:tcW w:w="746" w:type="dxa"/>
            <w:gridSpan w:val="5"/>
          </w:tcPr>
          <w:p w:rsidR="0061724B" w:rsidRPr="00223895" w:rsidRDefault="0061724B"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7" w:type="dxa"/>
            <w:gridSpan w:val="6"/>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58,2</w:t>
            </w:r>
          </w:p>
        </w:tc>
        <w:tc>
          <w:tcPr>
            <w:tcW w:w="746"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58,2</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58,2</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6"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7" w:type="dxa"/>
            <w:gridSpan w:val="4"/>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7"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6" w:type="dxa"/>
            <w:gridSpan w:val="3"/>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7" w:type="dxa"/>
            <w:gridSpan w:val="5"/>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c>
          <w:tcPr>
            <w:tcW w:w="747" w:type="dxa"/>
          </w:tcPr>
          <w:p w:rsidR="0061724B" w:rsidRPr="00223895" w:rsidRDefault="008A5356" w:rsidP="00DE63F3">
            <w:pPr>
              <w:pStyle w:val="ConsPlusNormal"/>
              <w:jc w:val="center"/>
              <w:rPr>
                <w:rFonts w:ascii="Times New Roman" w:hAnsi="Times New Roman" w:cs="Times New Roman"/>
              </w:rPr>
            </w:pPr>
            <w:r w:rsidRPr="00223895">
              <w:rPr>
                <w:rFonts w:ascii="Times New Roman" w:hAnsi="Times New Roman" w:cs="Times New Roman"/>
              </w:rPr>
              <w:t>58,1</w:t>
            </w:r>
          </w:p>
        </w:tc>
      </w:tr>
    </w:tbl>
    <w:p w:rsidR="00452847" w:rsidRDefault="00452847">
      <w:pPr>
        <w:pStyle w:val="ConsPlusNormal"/>
        <w:sectPr w:rsidR="00452847">
          <w:pgSz w:w="16838" w:h="11905" w:orient="landscape"/>
          <w:pgMar w:top="1701" w:right="1134" w:bottom="850" w:left="1134" w:header="0" w:footer="0" w:gutter="0"/>
          <w:cols w:space="720"/>
          <w:titlePg/>
        </w:sectPr>
      </w:pPr>
    </w:p>
    <w:p w:rsidR="00452847" w:rsidRDefault="00452847">
      <w:pPr>
        <w:pStyle w:val="ConsPlusNormal"/>
        <w:jc w:val="both"/>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9.3. Организация мониторинга реализации Стратегии</w:t>
      </w:r>
    </w:p>
    <w:p w:rsidR="00452847" w:rsidRDefault="00452847">
      <w:pPr>
        <w:pStyle w:val="ConsPlusNormal"/>
        <w:jc w:val="both"/>
      </w:pPr>
    </w:p>
    <w:p w:rsidR="00452847" w:rsidRDefault="00452847">
      <w:pPr>
        <w:pStyle w:val="ConsPlusNonformat"/>
        <w:jc w:val="both"/>
      </w:pPr>
      <w:r>
        <w:t>┌─────────────────────────────────────────────────────────────────────────┐</w:t>
      </w:r>
    </w:p>
    <w:p w:rsidR="00452847" w:rsidRDefault="00452847">
      <w:pPr>
        <w:pStyle w:val="ConsPlusNonformat"/>
        <w:jc w:val="both"/>
      </w:pPr>
      <w:r>
        <w:t>│          ПРОВЕДЕНИЕ ТЕКУЩЕЙ ОЦЕНКИ ПО ИТОГАМ КАЖДОГО ПОЛУГОДИЯ          │</w:t>
      </w:r>
    </w:p>
    <w:p w:rsidR="00452847" w:rsidRDefault="00452847">
      <w:pPr>
        <w:pStyle w:val="ConsPlusNonformat"/>
        <w:jc w:val="both"/>
      </w:pPr>
      <w:r>
        <w:t>└────────────┬────────────────────────────────────────────┬───────────────┘</w:t>
      </w:r>
    </w:p>
    <w:p w:rsidR="00452847" w:rsidRDefault="00452847">
      <w:pPr>
        <w:pStyle w:val="ConsPlusNonformat"/>
        <w:jc w:val="both"/>
      </w:pPr>
      <w:r>
        <w:t xml:space="preserve">            \/                                           \/</w:t>
      </w:r>
    </w:p>
    <w:p w:rsidR="00452847" w:rsidRDefault="00452847">
      <w:pPr>
        <w:pStyle w:val="ConsPlusNonformat"/>
        <w:jc w:val="both"/>
      </w:pPr>
      <w:r>
        <w:t>┌─────────────────────────────┐             ┌─────────────────────────────┐</w:t>
      </w:r>
    </w:p>
    <w:p w:rsidR="00452847" w:rsidRDefault="00452847">
      <w:pPr>
        <w:pStyle w:val="ConsPlusNonformat"/>
        <w:jc w:val="both"/>
      </w:pPr>
      <w:r>
        <w:t>│ административный мониторинг ├────────────&gt;│          изучение           │</w:t>
      </w:r>
    </w:p>
    <w:p w:rsidR="00452847" w:rsidRDefault="00452847">
      <w:pPr>
        <w:pStyle w:val="ConsPlusNonformat"/>
        <w:jc w:val="both"/>
      </w:pPr>
      <w:r>
        <w:t>│  (сбор информации органами  │&lt;────────────┤    общественного мнения     │</w:t>
      </w:r>
    </w:p>
    <w:p w:rsidR="00452847" w:rsidRDefault="00452847">
      <w:pPr>
        <w:pStyle w:val="ConsPlusNonformat"/>
        <w:jc w:val="both"/>
      </w:pPr>
      <w:r>
        <w:t>│   местного самоуправления   │             │                             │</w:t>
      </w:r>
    </w:p>
    <w:p w:rsidR="00452847" w:rsidRDefault="00452847">
      <w:pPr>
        <w:pStyle w:val="ConsPlusNonformat"/>
        <w:jc w:val="both"/>
      </w:pPr>
      <w:r>
        <w:t>│        и статистики)        │             │                             │</w:t>
      </w:r>
    </w:p>
    <w:p w:rsidR="00452847" w:rsidRDefault="00452847">
      <w:pPr>
        <w:pStyle w:val="ConsPlusNonformat"/>
        <w:jc w:val="both"/>
      </w:pPr>
      <w:r>
        <w:t>└─────────────────────────────┘             └─────────────────────────────┘</w:t>
      </w:r>
    </w:p>
    <w:p w:rsidR="00452847" w:rsidRDefault="00452847">
      <w:pPr>
        <w:pStyle w:val="ConsPlusNormal"/>
        <w:jc w:val="both"/>
      </w:pPr>
    </w:p>
    <w:p w:rsidR="00452847" w:rsidRDefault="00452847">
      <w:pPr>
        <w:pStyle w:val="ConsPlusNonformat"/>
        <w:jc w:val="both"/>
      </w:pPr>
      <w:r>
        <w:t>┌─────────────────────────────────────────────────────────────────────────┐</w:t>
      </w:r>
    </w:p>
    <w:p w:rsidR="00452847" w:rsidRDefault="00452847">
      <w:pPr>
        <w:pStyle w:val="ConsPlusNonformat"/>
        <w:jc w:val="both"/>
      </w:pPr>
      <w:r>
        <w:t>│                          ГОРИЗОНТАЛЬНЫЙ АНАЛИЗ                          │</w:t>
      </w:r>
    </w:p>
    <w:p w:rsidR="00452847" w:rsidRDefault="00452847">
      <w:pPr>
        <w:pStyle w:val="ConsPlusNonformat"/>
        <w:jc w:val="both"/>
      </w:pPr>
      <w:r>
        <w:t>└─────────────┬────────────────────────────────────────────┬──────────────┘</w:t>
      </w:r>
    </w:p>
    <w:p w:rsidR="00452847" w:rsidRDefault="00452847">
      <w:pPr>
        <w:pStyle w:val="ConsPlusNonformat"/>
        <w:jc w:val="both"/>
      </w:pPr>
      <w:r>
        <w:t xml:space="preserve">             \/                                           \/</w:t>
      </w:r>
    </w:p>
    <w:p w:rsidR="00452847" w:rsidRDefault="00452847">
      <w:pPr>
        <w:pStyle w:val="ConsPlusNonformat"/>
        <w:jc w:val="both"/>
      </w:pPr>
      <w:r>
        <w:t>┌─────────────────────────────┐             ┌─────────────────────────────┐</w:t>
      </w:r>
    </w:p>
    <w:p w:rsidR="00452847" w:rsidRDefault="00452847">
      <w:pPr>
        <w:pStyle w:val="ConsPlusNonformat"/>
        <w:jc w:val="both"/>
      </w:pPr>
      <w:r>
        <w:t>│через определенные промежутки│             │  по результатам полугодия   │</w:t>
      </w:r>
    </w:p>
    <w:p w:rsidR="00452847" w:rsidRDefault="00452847">
      <w:pPr>
        <w:pStyle w:val="ConsPlusNonformat"/>
        <w:jc w:val="both"/>
      </w:pPr>
      <w:r>
        <w:t>│           времени           │             │                             │</w:t>
      </w:r>
    </w:p>
    <w:p w:rsidR="00452847" w:rsidRDefault="00452847">
      <w:pPr>
        <w:pStyle w:val="ConsPlusNonformat"/>
        <w:jc w:val="both"/>
      </w:pPr>
      <w:r>
        <w:t>└─────────────┬───────────────┘             └──────────────┬──────────────┘</w:t>
      </w:r>
    </w:p>
    <w:p w:rsidR="00452847" w:rsidRDefault="00452847">
      <w:pPr>
        <w:pStyle w:val="ConsPlusNonformat"/>
        <w:jc w:val="both"/>
      </w:pPr>
      <w:r>
        <w:t xml:space="preserve">             \/                                           \/</w:t>
      </w:r>
    </w:p>
    <w:p w:rsidR="00452847" w:rsidRDefault="00452847">
      <w:pPr>
        <w:pStyle w:val="ConsPlusNonformat"/>
        <w:jc w:val="both"/>
      </w:pPr>
      <w:r>
        <w:t>┌─────────────────────────────┐             ┌─────────────────────────────┐</w:t>
      </w:r>
    </w:p>
    <w:p w:rsidR="00452847" w:rsidRDefault="00452847">
      <w:pPr>
        <w:pStyle w:val="ConsPlusNonformat"/>
        <w:jc w:val="both"/>
      </w:pPr>
      <w:r>
        <w:t>│    определение динамики     │             │    определение тенденций    │</w:t>
      </w:r>
    </w:p>
    <w:p w:rsidR="00452847" w:rsidRDefault="00452847">
      <w:pPr>
        <w:pStyle w:val="ConsPlusNonformat"/>
        <w:jc w:val="both"/>
      </w:pPr>
      <w:r>
        <w:t>│     реального изменения     │             │    восприятия населением    │</w:t>
      </w:r>
    </w:p>
    <w:p w:rsidR="00452847" w:rsidRDefault="00452847">
      <w:pPr>
        <w:pStyle w:val="ConsPlusNonformat"/>
        <w:jc w:val="both"/>
      </w:pPr>
      <w:r>
        <w:t>│ показателей развития района │             │       развития района       │</w:t>
      </w:r>
    </w:p>
    <w:p w:rsidR="00452847" w:rsidRDefault="00452847">
      <w:pPr>
        <w:pStyle w:val="ConsPlusNonformat"/>
        <w:jc w:val="both"/>
      </w:pPr>
      <w:r>
        <w:t>└─────────────────────────────┘             └─────────────────────────────┘</w:t>
      </w:r>
    </w:p>
    <w:p w:rsidR="00452847" w:rsidRDefault="00452847">
      <w:pPr>
        <w:pStyle w:val="ConsPlusNormal"/>
        <w:jc w:val="both"/>
      </w:pPr>
    </w:p>
    <w:p w:rsidR="00452847" w:rsidRPr="00223895" w:rsidRDefault="00452847">
      <w:pPr>
        <w:pStyle w:val="ConsPlusTitle"/>
        <w:spacing w:before="260"/>
        <w:jc w:val="center"/>
        <w:outlineLvl w:val="1"/>
        <w:rPr>
          <w:rFonts w:ascii="Times New Roman" w:hAnsi="Times New Roman" w:cs="Times New Roman"/>
          <w:sz w:val="28"/>
          <w:szCs w:val="28"/>
        </w:rPr>
      </w:pPr>
      <w:r w:rsidRPr="00223895">
        <w:rPr>
          <w:rFonts w:ascii="Times New Roman" w:hAnsi="Times New Roman" w:cs="Times New Roman"/>
          <w:sz w:val="28"/>
          <w:szCs w:val="28"/>
        </w:rPr>
        <w:t>9. МЕХАНИЗМ РЕАЛИЗАЦИИ СТРАТЕГИИ</w:t>
      </w:r>
    </w:p>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 xml:space="preserve">(введен </w:t>
      </w:r>
      <w:hyperlink r:id="rId63">
        <w:r w:rsidRPr="00223895">
          <w:rPr>
            <w:rFonts w:ascii="Times New Roman" w:hAnsi="Times New Roman" w:cs="Times New Roman"/>
            <w:color w:val="0000FF"/>
            <w:sz w:val="28"/>
            <w:szCs w:val="28"/>
          </w:rPr>
          <w:t>решением</w:t>
        </w:r>
      </w:hyperlink>
      <w:r w:rsidRPr="00223895">
        <w:rPr>
          <w:rFonts w:ascii="Times New Roman" w:hAnsi="Times New Roman" w:cs="Times New Roman"/>
          <w:sz w:val="28"/>
          <w:szCs w:val="28"/>
        </w:rPr>
        <w:t xml:space="preserve"> Совета депутатов Грязинского муниципального</w:t>
      </w:r>
    </w:p>
    <w:p w:rsidR="00452847" w:rsidRPr="00223895" w:rsidRDefault="00452847">
      <w:pPr>
        <w:pStyle w:val="ConsPlusNormal"/>
        <w:jc w:val="center"/>
        <w:rPr>
          <w:rFonts w:ascii="Times New Roman" w:hAnsi="Times New Roman" w:cs="Times New Roman"/>
          <w:sz w:val="28"/>
          <w:szCs w:val="28"/>
        </w:rPr>
      </w:pPr>
      <w:r w:rsidRPr="00223895">
        <w:rPr>
          <w:rFonts w:ascii="Times New Roman" w:hAnsi="Times New Roman" w:cs="Times New Roman"/>
          <w:sz w:val="28"/>
          <w:szCs w:val="28"/>
        </w:rPr>
        <w:t>района Липецкой обл. от 19.12.2017 N 171)</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Механизмом реализации стратегии является План мероприятий по реализации Стратегии социально-экономического развития Грязинского муниципального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План закрепляет обязательства Грязинского муниципального района и представляет собой систему действий по реализации стратегических целей, задач по приоритетным направлениям социально-экономического развития Грязинского муниципального района.</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1"/>
        <w:rPr>
          <w:rFonts w:ascii="Times New Roman" w:hAnsi="Times New Roman" w:cs="Times New Roman"/>
          <w:sz w:val="28"/>
          <w:szCs w:val="28"/>
        </w:rPr>
      </w:pPr>
      <w:r w:rsidRPr="00223895">
        <w:rPr>
          <w:rFonts w:ascii="Times New Roman" w:hAnsi="Times New Roman" w:cs="Times New Roman"/>
          <w:sz w:val="28"/>
          <w:szCs w:val="28"/>
        </w:rPr>
        <w:t>10. ЭТАПЫ РЕАЛИЗАЦИИ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Реализация Стратегии должна проходить в несколько этапов.</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I этап. Подготовка проекта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Данный этап предполагает разработку Стратегии:</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1) анализ, который представляет собой диагностику состояния района, изучение факторов, определяющих развитие, SWOT-анализ;</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lastRenderedPageBreak/>
        <w:t>2) целеполагание, включающее в себя определение и утверждение главной цели (миссии), основных стратегических целей, направлений и приоритетов развития района;</w:t>
      </w:r>
    </w:p>
    <w:p w:rsidR="00452847" w:rsidRPr="00223895" w:rsidRDefault="00452847">
      <w:pPr>
        <w:pStyle w:val="ConsPlusNormal"/>
        <w:spacing w:before="200"/>
        <w:ind w:firstLine="540"/>
        <w:jc w:val="both"/>
        <w:rPr>
          <w:rFonts w:ascii="Times New Roman" w:hAnsi="Times New Roman" w:cs="Times New Roman"/>
          <w:sz w:val="28"/>
          <w:szCs w:val="28"/>
        </w:rPr>
      </w:pPr>
      <w:r w:rsidRPr="00223895">
        <w:rPr>
          <w:rFonts w:ascii="Times New Roman" w:hAnsi="Times New Roman" w:cs="Times New Roman"/>
          <w:sz w:val="28"/>
          <w:szCs w:val="28"/>
        </w:rPr>
        <w:t>3) планирование, предполагающее формирование частных стратегий достижения целей по каждому направлению.</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II этап. Принятие проекта Стратегии социально-экономического развития</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Принятие Стратегии социально-экономического развития Грязинского района происходит на заседании районного Совета депутатов.</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III этап. Разработка программ социально-экономического развития и их реализация</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Данный этап направлен на разработку программ по сферам деятельности района, в реализации которых должны отражаться основные цели и задачи каждой сферы, а также основные приоритеты социально-экономического развития района в целом.</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IV этап. Мониторинг реализации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Данный этап предполагает проведение мониторинга по основным показателям реализации Стратегии и выявление причин улучшения или ухудшения показателей. Кроме того, мониторинг предполагает выявление общественного мнения о развитии района и результатах реализации программ и непосредственно самой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2"/>
        <w:rPr>
          <w:rFonts w:ascii="Times New Roman" w:hAnsi="Times New Roman" w:cs="Times New Roman"/>
          <w:sz w:val="28"/>
          <w:szCs w:val="28"/>
        </w:rPr>
      </w:pPr>
      <w:r w:rsidRPr="00223895">
        <w:rPr>
          <w:rFonts w:ascii="Times New Roman" w:hAnsi="Times New Roman" w:cs="Times New Roman"/>
          <w:sz w:val="28"/>
          <w:szCs w:val="28"/>
        </w:rPr>
        <w:t>V этап. Анализ проблем реализации Стратегии и корректировка задач</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На данном этапе исследуются результаты мониторинга с целью выявления положительных и отрицательных тенденций развития и их причин. После данного анализа необходимо скорректировать способы достижения целей и задач и продолжить реализацию основных направлений и приоритетов Стратегии.</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ind w:firstLine="540"/>
        <w:jc w:val="both"/>
        <w:outlineLvl w:val="1"/>
        <w:rPr>
          <w:rFonts w:ascii="Times New Roman" w:hAnsi="Times New Roman" w:cs="Times New Roman"/>
          <w:sz w:val="28"/>
          <w:szCs w:val="28"/>
        </w:rPr>
      </w:pPr>
      <w:r w:rsidRPr="00223895">
        <w:rPr>
          <w:rFonts w:ascii="Times New Roman" w:hAnsi="Times New Roman" w:cs="Times New Roman"/>
          <w:sz w:val="28"/>
          <w:szCs w:val="28"/>
        </w:rPr>
        <w:t>11. ПОКАЗАТЕЛИ РЕЗУЛЬТАТИВНОСТИ РЕАЛИЗАЦИИ СТРАТЕГИЧЕСКИХ ЦЕЛЕЙ</w:t>
      </w:r>
    </w:p>
    <w:p w:rsidR="00452847" w:rsidRPr="00223895" w:rsidRDefault="00581CB3">
      <w:pPr>
        <w:pStyle w:val="ConsPlusNormal"/>
        <w:ind w:firstLine="540"/>
        <w:jc w:val="both"/>
        <w:rPr>
          <w:rFonts w:ascii="Times New Roman" w:hAnsi="Times New Roman" w:cs="Times New Roman"/>
          <w:sz w:val="28"/>
          <w:szCs w:val="28"/>
        </w:rPr>
      </w:pPr>
      <w:r w:rsidRPr="00223895">
        <w:rPr>
          <w:rFonts w:ascii="Times New Roman" w:hAnsi="Times New Roman" w:cs="Times New Roman"/>
          <w:sz w:val="28"/>
          <w:szCs w:val="28"/>
        </w:rPr>
        <w:t xml:space="preserve">Утратил силу </w:t>
      </w:r>
      <w:r w:rsidR="00452847" w:rsidRPr="00223895">
        <w:rPr>
          <w:rFonts w:ascii="Times New Roman" w:hAnsi="Times New Roman" w:cs="Times New Roman"/>
          <w:sz w:val="28"/>
          <w:szCs w:val="28"/>
        </w:rPr>
        <w:t xml:space="preserve">(в ред. </w:t>
      </w:r>
      <w:hyperlink r:id="rId64">
        <w:r w:rsidR="00452847" w:rsidRPr="00223895">
          <w:rPr>
            <w:rFonts w:ascii="Times New Roman" w:hAnsi="Times New Roman" w:cs="Times New Roman"/>
            <w:color w:val="0000FF"/>
            <w:sz w:val="28"/>
            <w:szCs w:val="28"/>
          </w:rPr>
          <w:t>решения</w:t>
        </w:r>
      </w:hyperlink>
      <w:r w:rsidR="00452847" w:rsidRPr="00223895">
        <w:rPr>
          <w:rFonts w:ascii="Times New Roman" w:hAnsi="Times New Roman" w:cs="Times New Roman"/>
          <w:sz w:val="28"/>
          <w:szCs w:val="28"/>
        </w:rPr>
        <w:t xml:space="preserve"> Совета депутатов Грязинского муниципального района Липецкой обл. от </w:t>
      </w:r>
      <w:r w:rsidRPr="00223895">
        <w:rPr>
          <w:rFonts w:ascii="Times New Roman" w:hAnsi="Times New Roman" w:cs="Times New Roman"/>
          <w:color w:val="0000FF"/>
          <w:sz w:val="28"/>
          <w:szCs w:val="28"/>
        </w:rPr>
        <w:t>от 23.08.2022 № 121</w:t>
      </w:r>
      <w:r w:rsidR="00452847" w:rsidRPr="00223895">
        <w:rPr>
          <w:rFonts w:ascii="Times New Roman" w:hAnsi="Times New Roman" w:cs="Times New Roman"/>
          <w:sz w:val="28"/>
          <w:szCs w:val="28"/>
        </w:rPr>
        <w:t>)</w:t>
      </w:r>
    </w:p>
    <w:p w:rsidR="00452847" w:rsidRPr="00223895" w:rsidRDefault="00452847">
      <w:pPr>
        <w:pStyle w:val="ConsPlusNormal"/>
        <w:jc w:val="both"/>
        <w:rPr>
          <w:rFonts w:ascii="Times New Roman" w:hAnsi="Times New Roman" w:cs="Times New Roman"/>
          <w:sz w:val="28"/>
          <w:szCs w:val="28"/>
        </w:rPr>
      </w:pPr>
    </w:p>
    <w:p w:rsidR="00452847" w:rsidRPr="00223895" w:rsidRDefault="00452847">
      <w:pPr>
        <w:pStyle w:val="ConsPlusTitle"/>
        <w:jc w:val="center"/>
        <w:outlineLvl w:val="2"/>
        <w:rPr>
          <w:rFonts w:ascii="Times New Roman" w:hAnsi="Times New Roman" w:cs="Times New Roman"/>
          <w:sz w:val="28"/>
          <w:szCs w:val="28"/>
        </w:rPr>
      </w:pPr>
      <w:r w:rsidRPr="00223895">
        <w:rPr>
          <w:rFonts w:ascii="Times New Roman" w:hAnsi="Times New Roman" w:cs="Times New Roman"/>
          <w:sz w:val="28"/>
          <w:szCs w:val="28"/>
        </w:rPr>
        <w:t>Показатели результативности реализации стратегических целей</w:t>
      </w:r>
    </w:p>
    <w:p w:rsidR="00452847" w:rsidRDefault="0045284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1417"/>
        <w:gridCol w:w="1417"/>
      </w:tblGrid>
      <w:tr w:rsidR="00452847" w:rsidRPr="006917D4">
        <w:tc>
          <w:tcPr>
            <w:tcW w:w="9070" w:type="dxa"/>
            <w:gridSpan w:val="3"/>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Ожидаемые результаты реализации Стратегии развития</w:t>
            </w:r>
          </w:p>
        </w:tc>
      </w:tr>
      <w:tr w:rsidR="00452847" w:rsidRPr="006917D4">
        <w:tc>
          <w:tcPr>
            <w:tcW w:w="6236" w:type="dxa"/>
            <w:vMerge w:val="restart"/>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lastRenderedPageBreak/>
              <w:t>Наименование параметра</w:t>
            </w:r>
          </w:p>
        </w:tc>
        <w:tc>
          <w:tcPr>
            <w:tcW w:w="2834" w:type="dxa"/>
            <w:gridSpan w:val="2"/>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Значение параметра по годам</w:t>
            </w:r>
          </w:p>
        </w:tc>
      </w:tr>
      <w:tr w:rsidR="00452847" w:rsidRPr="006917D4">
        <w:tc>
          <w:tcPr>
            <w:tcW w:w="6236" w:type="dxa"/>
            <w:vMerge/>
          </w:tcPr>
          <w:p w:rsidR="00452847" w:rsidRPr="006917D4" w:rsidRDefault="00452847">
            <w:pPr>
              <w:pStyle w:val="ConsPlusNormal"/>
              <w:rPr>
                <w:rFonts w:ascii="Times New Roman" w:hAnsi="Times New Roman" w:cs="Times New Roman"/>
                <w:sz w:val="28"/>
                <w:szCs w:val="28"/>
              </w:rPr>
            </w:pP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2010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2020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Выпуск продукции промышленного производства (млн.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13400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100000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Денежные доходы на душу населения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10256</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24624</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Средняя заработная плата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12820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30780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Уровень бедности населения (доля населения, имеющего доходы ниже прожиточного минимума) (%)</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15</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6</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Продолжительность жизни</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69</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73</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Ввод жилья (тыс. кв. м общей площади в год)</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48,0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80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Производство зерна (тыс. т)</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103,0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105,0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Производство молока (тыс. т)</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8,2</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9,0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Производство сахарной свеклы (тыс. т)</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120,0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150,0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Реализация товаров, на 1 жителя (тыс.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84,1</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165</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Оказание бытовых услуг, на 1 жителя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1500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2930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Количество субъектов малого бизнеса, на 1 жителя</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40</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50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Доходы бюджета (тыс.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886,6</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1780</w:t>
            </w:r>
          </w:p>
        </w:tc>
      </w:tr>
      <w:tr w:rsidR="00452847" w:rsidRPr="006917D4">
        <w:tc>
          <w:tcPr>
            <w:tcW w:w="6236" w:type="dxa"/>
          </w:tcPr>
          <w:p w:rsidR="00452847" w:rsidRPr="006917D4" w:rsidRDefault="00452847">
            <w:pPr>
              <w:pStyle w:val="ConsPlusNormal"/>
              <w:rPr>
                <w:rFonts w:ascii="Times New Roman" w:hAnsi="Times New Roman" w:cs="Times New Roman"/>
                <w:sz w:val="28"/>
                <w:szCs w:val="28"/>
              </w:rPr>
            </w:pPr>
            <w:r w:rsidRPr="006917D4">
              <w:rPr>
                <w:rFonts w:ascii="Times New Roman" w:hAnsi="Times New Roman" w:cs="Times New Roman"/>
                <w:sz w:val="28"/>
                <w:szCs w:val="28"/>
              </w:rPr>
              <w:t>Расходы бюджета (тыс. руб.)</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886,6</w:t>
            </w:r>
          </w:p>
        </w:tc>
        <w:tc>
          <w:tcPr>
            <w:tcW w:w="1417" w:type="dxa"/>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sz w:val="28"/>
                <w:szCs w:val="28"/>
              </w:rPr>
              <w:t>1780</w:t>
            </w:r>
          </w:p>
        </w:tc>
      </w:tr>
    </w:tbl>
    <w:p w:rsidR="00452847" w:rsidRDefault="00452847">
      <w:pPr>
        <w:pStyle w:val="ConsPlusNormal"/>
        <w:jc w:val="both"/>
      </w:pPr>
    </w:p>
    <w:p w:rsidR="00452847" w:rsidRPr="006917D4" w:rsidRDefault="00452847">
      <w:pPr>
        <w:pStyle w:val="ConsPlusNormal"/>
        <w:jc w:val="right"/>
        <w:rPr>
          <w:rFonts w:ascii="Times New Roman" w:hAnsi="Times New Roman" w:cs="Times New Roman"/>
          <w:sz w:val="28"/>
          <w:szCs w:val="28"/>
        </w:rPr>
      </w:pPr>
      <w:r w:rsidRPr="006917D4">
        <w:rPr>
          <w:rFonts w:ascii="Times New Roman" w:hAnsi="Times New Roman" w:cs="Times New Roman"/>
          <w:sz w:val="28"/>
          <w:szCs w:val="28"/>
        </w:rPr>
        <w:t>Глава Грязинского</w:t>
      </w:r>
    </w:p>
    <w:p w:rsidR="00452847" w:rsidRPr="006917D4" w:rsidRDefault="00452847">
      <w:pPr>
        <w:pStyle w:val="ConsPlusNormal"/>
        <w:jc w:val="right"/>
        <w:rPr>
          <w:rFonts w:ascii="Times New Roman" w:hAnsi="Times New Roman" w:cs="Times New Roman"/>
          <w:sz w:val="28"/>
          <w:szCs w:val="28"/>
        </w:rPr>
      </w:pPr>
      <w:r w:rsidRPr="006917D4">
        <w:rPr>
          <w:rFonts w:ascii="Times New Roman" w:hAnsi="Times New Roman" w:cs="Times New Roman"/>
          <w:sz w:val="28"/>
          <w:szCs w:val="28"/>
        </w:rPr>
        <w:t>муниципального района</w:t>
      </w:r>
    </w:p>
    <w:p w:rsidR="00452847" w:rsidRPr="006917D4" w:rsidRDefault="00452847">
      <w:pPr>
        <w:pStyle w:val="ConsPlusNormal"/>
        <w:jc w:val="right"/>
        <w:rPr>
          <w:rFonts w:ascii="Times New Roman" w:hAnsi="Times New Roman" w:cs="Times New Roman"/>
          <w:sz w:val="28"/>
          <w:szCs w:val="28"/>
        </w:rPr>
      </w:pPr>
      <w:r w:rsidRPr="006917D4">
        <w:rPr>
          <w:rFonts w:ascii="Times New Roman" w:hAnsi="Times New Roman" w:cs="Times New Roman"/>
          <w:sz w:val="28"/>
          <w:szCs w:val="28"/>
        </w:rPr>
        <w:t>В.Т.РОЩУПКИН</w:t>
      </w: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910F29" w:rsidRPr="00CC181A" w:rsidRDefault="00910F29" w:rsidP="00910F29">
      <w:pPr>
        <w:pStyle w:val="ConsPlusNormal"/>
        <w:jc w:val="right"/>
        <w:outlineLvl w:val="1"/>
        <w:rPr>
          <w:rFonts w:ascii="Times New Roman" w:hAnsi="Times New Roman" w:cs="Times New Roman"/>
          <w:sz w:val="28"/>
          <w:szCs w:val="28"/>
        </w:rPr>
      </w:pPr>
      <w:r w:rsidRPr="00CC181A">
        <w:rPr>
          <w:rFonts w:ascii="Times New Roman" w:hAnsi="Times New Roman" w:cs="Times New Roman"/>
          <w:sz w:val="28"/>
          <w:szCs w:val="28"/>
        </w:rPr>
        <w:lastRenderedPageBreak/>
        <w:t>Приложение 1</w:t>
      </w: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Title"/>
        <w:jc w:val="center"/>
        <w:rPr>
          <w:rFonts w:ascii="Times New Roman" w:hAnsi="Times New Roman" w:cs="Times New Roman"/>
          <w:sz w:val="28"/>
          <w:szCs w:val="28"/>
        </w:rPr>
      </w:pPr>
      <w:r w:rsidRPr="00CC181A">
        <w:rPr>
          <w:rFonts w:ascii="Times New Roman" w:hAnsi="Times New Roman" w:cs="Times New Roman"/>
          <w:sz w:val="28"/>
          <w:szCs w:val="28"/>
        </w:rPr>
        <w:t>ОБЛАСТНАЯ ПРОГРАММНАЯ ПОДДЕРЖКА</w:t>
      </w:r>
    </w:p>
    <w:p w:rsidR="00910F29" w:rsidRPr="00CC181A" w:rsidRDefault="00910F29" w:rsidP="00910F29">
      <w:pPr>
        <w:pStyle w:val="ConsPlusTitle"/>
        <w:jc w:val="center"/>
        <w:rPr>
          <w:rFonts w:ascii="Times New Roman" w:hAnsi="Times New Roman" w:cs="Times New Roman"/>
          <w:sz w:val="28"/>
          <w:szCs w:val="28"/>
        </w:rPr>
      </w:pPr>
      <w:r w:rsidRPr="00CC181A">
        <w:rPr>
          <w:rFonts w:ascii="Times New Roman" w:hAnsi="Times New Roman" w:cs="Times New Roman"/>
          <w:sz w:val="28"/>
          <w:szCs w:val="28"/>
        </w:rPr>
        <w:t>СТРАТЕГИИ СОЦИАЛЬНО-ЭКОНОМИЧЕСКОГО РАЗВИТИЯ РАЙОНА</w:t>
      </w: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r w:rsidRPr="00CC181A">
        <w:rPr>
          <w:rFonts w:ascii="Times New Roman" w:hAnsi="Times New Roman"/>
          <w:sz w:val="28"/>
          <w:szCs w:val="28"/>
        </w:rPr>
        <w:t xml:space="preserve">         </w:t>
      </w:r>
      <w:r w:rsidRPr="00CC181A">
        <w:rPr>
          <w:rFonts w:ascii="Times New Roman" w:hAnsi="Times New Roman"/>
          <w:sz w:val="28"/>
          <w:szCs w:val="28"/>
          <w:lang w:eastAsia="ru-RU"/>
        </w:rPr>
        <w:t>Закон Липецкой области от 25.12.2006 N 10-ОЗ (ред. от 29.10.2018) "Стратегия социально-экономического развития Липецкой области на период до 2024 года»</w:t>
      </w:r>
    </w:p>
    <w:p w:rsidR="00910F29" w:rsidRPr="00CC181A" w:rsidRDefault="00910F29" w:rsidP="00910F29">
      <w:pPr>
        <w:autoSpaceDE w:val="0"/>
        <w:autoSpaceDN w:val="0"/>
        <w:adjustRightInd w:val="0"/>
        <w:spacing w:after="0" w:line="240" w:lineRule="auto"/>
        <w:rPr>
          <w:rFonts w:ascii="Times New Roman" w:hAnsi="Times New Roman"/>
          <w:sz w:val="28"/>
          <w:szCs w:val="28"/>
          <w:lang w:eastAsia="ru-RU"/>
        </w:rPr>
      </w:pP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r w:rsidRPr="00CC181A">
        <w:rPr>
          <w:rFonts w:ascii="Times New Roman" w:hAnsi="Times New Roman"/>
          <w:sz w:val="28"/>
          <w:szCs w:val="28"/>
        </w:rPr>
        <w:t xml:space="preserve">      Постановление администрации Липецкой области от 7 ноября 2013 № 500 «Об у</w:t>
      </w:r>
      <w:r w:rsidRPr="00CC181A">
        <w:rPr>
          <w:rFonts w:ascii="Times New Roman" w:hAnsi="Times New Roman"/>
          <w:sz w:val="28"/>
          <w:szCs w:val="28"/>
          <w:lang w:eastAsia="ru-RU"/>
        </w:rPr>
        <w:t xml:space="preserve">тверждении государственной </w:t>
      </w:r>
      <w:hyperlink r:id="rId65" w:history="1">
        <w:r w:rsidRPr="00CC181A">
          <w:rPr>
            <w:rFonts w:ascii="Times New Roman" w:hAnsi="Times New Roman"/>
            <w:color w:val="0000FF"/>
            <w:sz w:val="28"/>
            <w:szCs w:val="28"/>
            <w:lang w:eastAsia="ru-RU"/>
          </w:rPr>
          <w:t>программы</w:t>
        </w:r>
      </w:hyperlink>
      <w:r w:rsidRPr="00CC181A">
        <w:rPr>
          <w:rFonts w:ascii="Times New Roman" w:hAnsi="Times New Roman"/>
          <w:sz w:val="28"/>
          <w:szCs w:val="28"/>
          <w:lang w:eastAsia="ru-RU"/>
        </w:rPr>
        <w:t xml:space="preserve"> Липецкой области "Модернизация и инновационное развитие экономики Липецкой области".</w:t>
      </w: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r w:rsidRPr="00CC181A">
        <w:rPr>
          <w:rFonts w:ascii="Times New Roman" w:hAnsi="Times New Roman"/>
          <w:sz w:val="28"/>
          <w:szCs w:val="28"/>
          <w:lang w:eastAsia="ru-RU"/>
        </w:rPr>
        <w:t xml:space="preserve">         </w:t>
      </w:r>
      <w:r w:rsidRPr="00CC181A">
        <w:rPr>
          <w:rFonts w:ascii="Times New Roman" w:hAnsi="Times New Roman"/>
          <w:sz w:val="28"/>
          <w:szCs w:val="28"/>
        </w:rPr>
        <w:t>Постановление администрации Липецкой области от 13 декабря 2013 № 588 «Об у</w:t>
      </w:r>
      <w:r w:rsidRPr="00CC181A">
        <w:rPr>
          <w:rFonts w:ascii="Times New Roman" w:hAnsi="Times New Roman"/>
          <w:sz w:val="28"/>
          <w:szCs w:val="28"/>
          <w:lang w:eastAsia="ru-RU"/>
        </w:rPr>
        <w:t xml:space="preserve">тверждении государственной </w:t>
      </w:r>
      <w:hyperlink r:id="rId66" w:history="1">
        <w:r w:rsidRPr="00CC181A">
          <w:rPr>
            <w:rFonts w:ascii="Times New Roman" w:hAnsi="Times New Roman"/>
            <w:color w:val="0000FF"/>
            <w:sz w:val="28"/>
            <w:szCs w:val="28"/>
            <w:lang w:eastAsia="ru-RU"/>
          </w:rPr>
          <w:t>программы</w:t>
        </w:r>
      </w:hyperlink>
      <w:r w:rsidRPr="00CC181A">
        <w:rPr>
          <w:rFonts w:ascii="Times New Roman" w:hAnsi="Times New Roman"/>
          <w:sz w:val="28"/>
          <w:szCs w:val="28"/>
          <w:lang w:eastAsia="ru-RU"/>
        </w:rPr>
        <w:t xml:space="preserve"> Липецкой области "Обеспечение населения Липецкой области качественным жильем, социальной инфраструктурой и услугами ЖКХ".</w:t>
      </w: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r w:rsidRPr="00CC181A">
        <w:rPr>
          <w:rFonts w:ascii="Times New Roman" w:hAnsi="Times New Roman"/>
          <w:sz w:val="28"/>
          <w:szCs w:val="28"/>
          <w:lang w:eastAsia="ru-RU"/>
        </w:rPr>
        <w:t xml:space="preserve">         </w:t>
      </w:r>
      <w:r w:rsidRPr="00CC181A">
        <w:rPr>
          <w:rFonts w:ascii="Times New Roman" w:hAnsi="Times New Roman"/>
          <w:sz w:val="28"/>
          <w:szCs w:val="28"/>
        </w:rPr>
        <w:t>Постановление администрации Липецкой области от 11 октября 2013 № 458 «Об у</w:t>
      </w:r>
      <w:r w:rsidRPr="00CC181A">
        <w:rPr>
          <w:rFonts w:ascii="Times New Roman" w:hAnsi="Times New Roman"/>
          <w:sz w:val="28"/>
          <w:szCs w:val="28"/>
          <w:lang w:eastAsia="ru-RU"/>
        </w:rPr>
        <w:t xml:space="preserve">тверждении государственной </w:t>
      </w:r>
      <w:hyperlink r:id="rId67" w:history="1">
        <w:r w:rsidRPr="00CC181A">
          <w:rPr>
            <w:rFonts w:ascii="Times New Roman" w:hAnsi="Times New Roman"/>
            <w:color w:val="0000FF"/>
            <w:sz w:val="28"/>
            <w:szCs w:val="28"/>
            <w:lang w:eastAsia="ru-RU"/>
          </w:rPr>
          <w:t>программы</w:t>
        </w:r>
      </w:hyperlink>
      <w:r w:rsidRPr="00CC181A">
        <w:rPr>
          <w:rFonts w:ascii="Times New Roman" w:hAnsi="Times New Roman"/>
          <w:sz w:val="28"/>
          <w:szCs w:val="28"/>
          <w:lang w:eastAsia="ru-RU"/>
        </w:rPr>
        <w:t xml:space="preserve"> Липецкой области "Обеспечение инвестиционной привлекательности Липецкой области".</w:t>
      </w: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r w:rsidRPr="00CC181A">
        <w:rPr>
          <w:rFonts w:ascii="Times New Roman" w:hAnsi="Times New Roman"/>
          <w:sz w:val="28"/>
          <w:szCs w:val="28"/>
        </w:rPr>
        <w:t xml:space="preserve">         </w:t>
      </w:r>
      <w:hyperlink r:id="rId68" w:history="1">
        <w:r w:rsidRPr="00CC181A">
          <w:rPr>
            <w:rFonts w:ascii="Times New Roman" w:hAnsi="Times New Roman"/>
            <w:color w:val="0000FF"/>
            <w:sz w:val="28"/>
            <w:szCs w:val="28"/>
          </w:rPr>
          <w:t>Постановление</w:t>
        </w:r>
      </w:hyperlink>
      <w:r w:rsidRPr="00CC181A">
        <w:rPr>
          <w:rFonts w:ascii="Times New Roman" w:hAnsi="Times New Roman"/>
          <w:sz w:val="28"/>
          <w:szCs w:val="28"/>
        </w:rPr>
        <w:t xml:space="preserve"> Правительства Российской Федерации от 21 декабря 2005 г. N 782 "О создании на территории Грязинского района Липецкой области особой экономической зоны промышленно-производственного типа"</w:t>
      </w:r>
    </w:p>
    <w:p w:rsidR="00910F29" w:rsidRPr="00CC181A" w:rsidRDefault="00910F29" w:rsidP="00910F29">
      <w:pPr>
        <w:autoSpaceDE w:val="0"/>
        <w:autoSpaceDN w:val="0"/>
        <w:adjustRightInd w:val="0"/>
        <w:spacing w:after="0" w:line="240" w:lineRule="auto"/>
        <w:jc w:val="both"/>
        <w:rPr>
          <w:rFonts w:ascii="Times New Roman" w:hAnsi="Times New Roman"/>
          <w:sz w:val="28"/>
          <w:szCs w:val="28"/>
          <w:lang w:eastAsia="ru-RU"/>
        </w:rPr>
      </w:pPr>
    </w:p>
    <w:p w:rsidR="00910F29" w:rsidRPr="00CC181A" w:rsidRDefault="00910F29" w:rsidP="00910F29">
      <w:pPr>
        <w:autoSpaceDE w:val="0"/>
        <w:autoSpaceDN w:val="0"/>
        <w:adjustRightInd w:val="0"/>
        <w:spacing w:after="0" w:line="240" w:lineRule="auto"/>
        <w:jc w:val="both"/>
        <w:rPr>
          <w:rFonts w:ascii="Times New Roman" w:hAnsi="Times New Roman"/>
          <w:b/>
          <w:bCs/>
          <w:sz w:val="28"/>
          <w:szCs w:val="28"/>
          <w:lang w:eastAsia="ru-RU"/>
        </w:rPr>
      </w:pPr>
      <w:r w:rsidRPr="00CC181A">
        <w:rPr>
          <w:rFonts w:ascii="Times New Roman" w:hAnsi="Times New Roman"/>
          <w:sz w:val="28"/>
          <w:szCs w:val="28"/>
        </w:rPr>
        <w:t xml:space="preserve">         </w:t>
      </w:r>
      <w:hyperlink r:id="rId69" w:history="1">
        <w:r w:rsidRPr="00CC181A">
          <w:rPr>
            <w:rFonts w:ascii="Times New Roman" w:hAnsi="Times New Roman"/>
            <w:color w:val="0000FF"/>
            <w:sz w:val="28"/>
            <w:szCs w:val="28"/>
          </w:rPr>
          <w:t>Закон</w:t>
        </w:r>
      </w:hyperlink>
      <w:r w:rsidRPr="00CC181A">
        <w:rPr>
          <w:rFonts w:ascii="Times New Roman" w:hAnsi="Times New Roman"/>
          <w:sz w:val="28"/>
          <w:szCs w:val="28"/>
        </w:rPr>
        <w:t xml:space="preserve"> Липецкой области от 1 апреля 2016 г. N 507-ОЗ "О правовом регулировании некоторых вопросов промышленной политики на территории Липецкой области"</w:t>
      </w:r>
    </w:p>
    <w:p w:rsidR="00910F29" w:rsidRPr="00CC181A" w:rsidRDefault="00910F29" w:rsidP="00910F29">
      <w:pPr>
        <w:pStyle w:val="ConsPlusNormal"/>
        <w:spacing w:before="220"/>
        <w:jc w:val="both"/>
        <w:rPr>
          <w:rFonts w:ascii="Times New Roman" w:hAnsi="Times New Roman" w:cs="Times New Roman"/>
          <w:sz w:val="28"/>
          <w:szCs w:val="28"/>
        </w:rPr>
      </w:pPr>
      <w:r w:rsidRPr="00CC181A">
        <w:rPr>
          <w:rFonts w:ascii="Times New Roman" w:hAnsi="Times New Roman" w:cs="Times New Roman"/>
          <w:sz w:val="28"/>
          <w:szCs w:val="28"/>
        </w:rPr>
        <w:t xml:space="preserve">        </w:t>
      </w:r>
      <w:hyperlink r:id="rId70" w:history="1">
        <w:r w:rsidRPr="00CC181A">
          <w:rPr>
            <w:rFonts w:ascii="Times New Roman" w:hAnsi="Times New Roman" w:cs="Times New Roman"/>
            <w:color w:val="0000FF"/>
            <w:sz w:val="28"/>
            <w:szCs w:val="28"/>
          </w:rPr>
          <w:t>Закон</w:t>
        </w:r>
      </w:hyperlink>
      <w:r w:rsidRPr="00CC181A">
        <w:rPr>
          <w:rFonts w:ascii="Times New Roman" w:hAnsi="Times New Roman" w:cs="Times New Roman"/>
          <w:sz w:val="28"/>
          <w:szCs w:val="28"/>
        </w:rPr>
        <w:t xml:space="preserve"> Липецкой области от 25 февраля 1997 г. N 59-ОЗ "О поддержке инвестиций в экономику Липецкой области";</w:t>
      </w:r>
    </w:p>
    <w:p w:rsidR="00910F29" w:rsidRPr="00CC181A" w:rsidRDefault="003616F0" w:rsidP="00910F29">
      <w:pPr>
        <w:pStyle w:val="ConsPlusNormal"/>
        <w:spacing w:before="220"/>
        <w:ind w:firstLine="540"/>
        <w:jc w:val="both"/>
        <w:rPr>
          <w:rFonts w:ascii="Times New Roman" w:hAnsi="Times New Roman" w:cs="Times New Roman"/>
          <w:sz w:val="28"/>
          <w:szCs w:val="28"/>
        </w:rPr>
      </w:pPr>
      <w:hyperlink r:id="rId71" w:history="1">
        <w:r w:rsidR="00910F29" w:rsidRPr="00CC181A">
          <w:rPr>
            <w:rFonts w:ascii="Times New Roman" w:hAnsi="Times New Roman" w:cs="Times New Roman"/>
            <w:color w:val="0000FF"/>
            <w:sz w:val="28"/>
            <w:szCs w:val="28"/>
          </w:rPr>
          <w:t>Закон</w:t>
        </w:r>
      </w:hyperlink>
      <w:r w:rsidR="00910F29" w:rsidRPr="00CC181A">
        <w:rPr>
          <w:rFonts w:ascii="Times New Roman" w:hAnsi="Times New Roman" w:cs="Times New Roman"/>
          <w:sz w:val="28"/>
          <w:szCs w:val="28"/>
        </w:rPr>
        <w:t xml:space="preserve"> Липецкой области от 30 декабря 2004 г. N 162-ОЗ "О предоставлении государственных гарантий области по инвестиционным проектам";</w:t>
      </w:r>
    </w:p>
    <w:p w:rsidR="00910F29" w:rsidRPr="00CC181A" w:rsidRDefault="003616F0" w:rsidP="00910F29">
      <w:pPr>
        <w:pStyle w:val="ConsPlusNormal"/>
        <w:spacing w:before="220"/>
        <w:ind w:firstLine="540"/>
        <w:jc w:val="both"/>
        <w:rPr>
          <w:rFonts w:ascii="Times New Roman" w:hAnsi="Times New Roman" w:cs="Times New Roman"/>
          <w:sz w:val="28"/>
          <w:szCs w:val="28"/>
        </w:rPr>
      </w:pPr>
      <w:hyperlink r:id="rId72" w:history="1">
        <w:r w:rsidR="00910F29" w:rsidRPr="00CC181A">
          <w:rPr>
            <w:rFonts w:ascii="Times New Roman" w:hAnsi="Times New Roman" w:cs="Times New Roman"/>
            <w:color w:val="0000FF"/>
            <w:sz w:val="28"/>
            <w:szCs w:val="28"/>
          </w:rPr>
          <w:t>Закон</w:t>
        </w:r>
      </w:hyperlink>
      <w:r w:rsidR="00910F29" w:rsidRPr="00CC181A">
        <w:rPr>
          <w:rFonts w:ascii="Times New Roman" w:hAnsi="Times New Roman" w:cs="Times New Roman"/>
          <w:sz w:val="28"/>
          <w:szCs w:val="28"/>
        </w:rPr>
        <w:t xml:space="preserve"> Липецкой области от 29 сентября 2004 г. N 127-ОЗ "О залоговом фонде Липецкой области";</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Закон Липецкой области от 27.12.2007 N 120-ОЗ (ред. от 19.04.2022) "О социальных выплатах жителям Липецкой области на приобретение или строительство жилья";</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 xml:space="preserve">Закон Липецкой области от 15.10.2009 N 311-ОЗ (ред. от 10.08.2020) "О наделении органов местного самоуправления отдельными государственными полномочиями по предоставлению социальной выплаты на приобретение или </w:t>
      </w:r>
      <w:r w:rsidRPr="00CC181A">
        <w:rPr>
          <w:rFonts w:ascii="Times New Roman" w:hAnsi="Times New Roman" w:cs="Times New Roman"/>
          <w:sz w:val="28"/>
          <w:szCs w:val="28"/>
        </w:rPr>
        <w:lastRenderedPageBreak/>
        <w:t xml:space="preserve">строительство жилья по подпрограмме "Ипотечное жилищное кредитование" государственной программы Липецкой области "Обеспечение населения Липецкой области качественным жильем, социальной инфраструктурой и услугами ЖКХ" </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 xml:space="preserve">Закон Липецкой области от 27.12.2007 N 120-ОЗ (ред. от 19.04.2022) "О социальных выплатах жителям Липецкой области на приобретение или строительство жилья" </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Постановление администрации Липецкой области от 16.10.2013 N 465 (ред. от 22.04.2022) "Об утверждении государственной программы Липецкой области "Развитие рынка труда и содействие занятости населения в Липецкой области"</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 xml:space="preserve">Закон Липецкой области от 13.12.2021 N 28-ОЗ (ред. от 29.07.2022) "Об областном бюджете на 2022 год и на плановый период 2023 и 2024 годов" </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Постановление администрации Липецкой области от 30.10.2020 N 596 (ред. от 08.08.2022) "Об утверждении региональной программы "Снижение доли населения с доходами ниже величины прожиточного минимума в Липецкой области на период до 2030 года"</w:t>
      </w:r>
    </w:p>
    <w:p w:rsidR="00910F29" w:rsidRPr="00CC181A" w:rsidRDefault="00910F29" w:rsidP="00910F29">
      <w:pPr>
        <w:pStyle w:val="ConsPlusNormal"/>
        <w:spacing w:before="220"/>
        <w:ind w:firstLine="540"/>
        <w:jc w:val="both"/>
        <w:rPr>
          <w:rFonts w:ascii="Times New Roman" w:hAnsi="Times New Roman" w:cs="Times New Roman"/>
          <w:sz w:val="28"/>
          <w:szCs w:val="28"/>
        </w:rPr>
      </w:pPr>
      <w:r w:rsidRPr="00CC181A">
        <w:rPr>
          <w:rFonts w:ascii="Times New Roman" w:hAnsi="Times New Roman" w:cs="Times New Roman"/>
          <w:sz w:val="28"/>
          <w:szCs w:val="28"/>
        </w:rPr>
        <w:t>Постановление администрации Липецкой области от 28.10.2013 N 485 (ред. от 25.05.2022) "Об утверждении 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w:t>
      </w:r>
    </w:p>
    <w:p w:rsidR="00910F29" w:rsidRPr="00CC181A" w:rsidRDefault="00910F29" w:rsidP="00910F29">
      <w:pPr>
        <w:pStyle w:val="ConsPlusNormal"/>
        <w:spacing w:before="220"/>
        <w:ind w:firstLine="540"/>
        <w:jc w:val="both"/>
        <w:rPr>
          <w:rFonts w:ascii="Times New Roman" w:hAnsi="Times New Roman" w:cs="Times New Roman"/>
          <w:color w:val="FF0000"/>
          <w:sz w:val="28"/>
          <w:szCs w:val="28"/>
        </w:rPr>
      </w:pPr>
    </w:p>
    <w:p w:rsidR="00910F29" w:rsidRPr="00CC181A" w:rsidRDefault="00910F29" w:rsidP="00910F29">
      <w:pPr>
        <w:spacing w:after="1"/>
        <w:rPr>
          <w:rFonts w:ascii="Times New Roman" w:hAnsi="Times New Roman"/>
          <w:sz w:val="28"/>
          <w:szCs w:val="28"/>
        </w:rPr>
      </w:pP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Normal"/>
        <w:jc w:val="right"/>
        <w:outlineLvl w:val="1"/>
        <w:rPr>
          <w:rFonts w:ascii="Times New Roman" w:hAnsi="Times New Roman" w:cs="Times New Roman"/>
          <w:sz w:val="28"/>
          <w:szCs w:val="28"/>
        </w:rPr>
      </w:pPr>
      <w:r w:rsidRPr="00CC181A">
        <w:rPr>
          <w:rFonts w:ascii="Times New Roman" w:hAnsi="Times New Roman" w:cs="Times New Roman"/>
          <w:sz w:val="28"/>
          <w:szCs w:val="28"/>
        </w:rPr>
        <w:lastRenderedPageBreak/>
        <w:t>Приложение 2</w:t>
      </w:r>
    </w:p>
    <w:p w:rsidR="00910F29" w:rsidRPr="00CC181A" w:rsidRDefault="00910F29" w:rsidP="00910F29">
      <w:pPr>
        <w:pStyle w:val="ConsPlusNormal"/>
        <w:jc w:val="both"/>
        <w:rPr>
          <w:rFonts w:ascii="Times New Roman" w:hAnsi="Times New Roman" w:cs="Times New Roman"/>
          <w:sz w:val="28"/>
          <w:szCs w:val="28"/>
        </w:rPr>
      </w:pPr>
    </w:p>
    <w:p w:rsidR="00910F29" w:rsidRPr="00CC181A" w:rsidRDefault="00910F29" w:rsidP="00910F29">
      <w:pPr>
        <w:pStyle w:val="ConsPlusTitle"/>
        <w:jc w:val="center"/>
        <w:rPr>
          <w:rFonts w:ascii="Times New Roman" w:hAnsi="Times New Roman" w:cs="Times New Roman"/>
          <w:sz w:val="28"/>
          <w:szCs w:val="28"/>
        </w:rPr>
      </w:pPr>
      <w:r w:rsidRPr="00CC181A">
        <w:rPr>
          <w:rFonts w:ascii="Times New Roman" w:hAnsi="Times New Roman" w:cs="Times New Roman"/>
          <w:sz w:val="28"/>
          <w:szCs w:val="28"/>
        </w:rPr>
        <w:t>ПЕРЕЧЕНЬ</w:t>
      </w:r>
    </w:p>
    <w:p w:rsidR="00910F29" w:rsidRPr="00CC181A" w:rsidRDefault="00910F29" w:rsidP="00910F29">
      <w:pPr>
        <w:pStyle w:val="ConsPlusTitle"/>
        <w:jc w:val="center"/>
        <w:rPr>
          <w:rFonts w:ascii="Times New Roman" w:hAnsi="Times New Roman" w:cs="Times New Roman"/>
          <w:sz w:val="28"/>
          <w:szCs w:val="28"/>
        </w:rPr>
      </w:pPr>
      <w:r w:rsidRPr="00CC181A">
        <w:rPr>
          <w:rFonts w:ascii="Times New Roman" w:hAnsi="Times New Roman" w:cs="Times New Roman"/>
          <w:sz w:val="28"/>
          <w:szCs w:val="28"/>
        </w:rPr>
        <w:t>МУНИЦИПАЛЬНЫХ ПРОГРАММ ГРЯЗИНСКОГО МУНИЦИПАЛЬНОГО РАЙОНА</w:t>
      </w:r>
    </w:p>
    <w:p w:rsidR="00910F29" w:rsidRPr="00CC181A" w:rsidRDefault="00910F29" w:rsidP="00910F29">
      <w:pPr>
        <w:spacing w:after="1"/>
        <w:rPr>
          <w:rFonts w:ascii="Times New Roman" w:hAnsi="Times New Roman"/>
          <w:sz w:val="28"/>
          <w:szCs w:val="28"/>
        </w:rPr>
      </w:pPr>
    </w:p>
    <w:p w:rsidR="00910F29" w:rsidRPr="00CC181A" w:rsidRDefault="00910F29" w:rsidP="00910F29">
      <w:pPr>
        <w:pStyle w:val="ConsPlusNormal"/>
        <w:jc w:val="both"/>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8447"/>
      </w:tblGrid>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N п/п</w:t>
            </w:r>
          </w:p>
        </w:tc>
        <w:tc>
          <w:tcPr>
            <w:tcW w:w="8447"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Муниципальные программы</w:t>
            </w:r>
          </w:p>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Подпрограммы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Управление муниципальными финансами и муниципальным долгом Грязинского муниципального района на 2014-2024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1.1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Долгосрочное бюджетное планирование, совершенствование организации бюджетного процесса</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1.2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Управление муниципальным долгом Грязинского муниципального района</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Социальное развитие территории Грязинского муниципального района Липецкой области на 2020-2024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2.1.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Молодежь Грязинского муниципального района Липецкой области на 2020-2024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2.2.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Развитие физической культуры и массового спорта в Грязинском муниципальном районе Липецкой области на 2020-2024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2.3.</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Сохранение и развитие культуры, библиотечного дела Грязинского муниципального района Липецкой области на 2020-2024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2.4</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Поддержка социально ориентированных некоммерческих организаций и развитие институтов гражданского общества в Грязинском муниципальном районе Липецкой области на 2020-2024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3.</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Развитие экономики Грязинского муниципального района Липецкой области на 2020 - 2024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3.1.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Развитие малого и среднего предпринимательства и малых форм хозяйствования Грязинского муниципального района Липецкой области на 2020 - 2024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3.2.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Развитие потребительского рынка Грязинского муниципального района Липецкой области на 2020 - 2024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3.3.</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 xml:space="preserve">Модернизация и развитие пассажирского транспорта на территории Грязинского муниципального района Липецкой области на 2020 - </w:t>
            </w:r>
            <w:r w:rsidRPr="00CC181A">
              <w:rPr>
                <w:rFonts w:ascii="Times New Roman" w:hAnsi="Times New Roman" w:cs="Times New Roman"/>
                <w:sz w:val="28"/>
                <w:szCs w:val="28"/>
              </w:rPr>
              <w:lastRenderedPageBreak/>
              <w:t>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lastRenderedPageBreak/>
              <w:t>3.4</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Развитие сельского хозяйства и регулирование рынка сельскохозяйственной продукции, сырья и продовольствия на 2020-2024 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4.</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Развитие системы образования в Грязинском муниципальном районе Липецкой области на 2020-2024г.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4.1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Ресурсное обеспечение развития образования в Грязинском муниципальном районе Липецкой области в 2020 - 2024гг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4.2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Реализация мер по обучению, воспитанию, содержанию детей - сирот и детей, оставшихся без попечения родителей, и психолого-педагогическая помощь детям в Грязинском муниципальном районе Липецкой области в 2020 -2024гг.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4.3</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Отдых и оздоровление детей в Грязинском муниципальном районе Липецкой области в 2020-2024 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5.</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Обеспечение реализации муниципальной политики в Грязинском муниципальном районе на 2020-2024 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5.1.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Совершенствование муниципальной службы Грязинского муниципального района на 2020-2024 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5.2.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Создание условий для обеспечения населения информацией о деятельности органов муниципальной власти и социально-экономическом развитии Грязинского муниципального района на 2020-2024 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5.3.</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Обеспечение реализации муниципальной политики на 2020-2024 г.г.</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6.</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Обеспечение общественной безопасности населения и территории Грязинского муниципального района Липецкой области на 2014-2024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6.1.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Осуществление мероприятий гражданской обороны и защиты населения и территории Грязинского муниципального района от чрезвычайных ситуаций природного и техногенного характера на 2014-2024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6.2.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Профилактика терроризма и экстремизма, минимизация и ликвидация последствий проявлений терроризма и экстремизма на территории Грязинского муниципального района на 2014-2024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7.</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 xml:space="preserve">Обеспечение населения Грязинского муниципального района качественным жильем, социальной инфраструктурой и услугами </w:t>
            </w:r>
            <w:r w:rsidRPr="00CC181A">
              <w:rPr>
                <w:rFonts w:ascii="Times New Roman" w:hAnsi="Times New Roman" w:cs="Times New Roman"/>
                <w:sz w:val="28"/>
                <w:szCs w:val="28"/>
              </w:rPr>
              <w:lastRenderedPageBreak/>
              <w:t>жилищно-коммунального хозяйства на 2014 - 2024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lastRenderedPageBreak/>
              <w:t>7.1.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О бесплатном предоставлении земельных участков, находящихся в государственной или муниципальной собственности, гражданам, имеющих трех и более детей на 2014 - 2024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7.2.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Энергосбережение и повышение энергетической эффективности администрации Грязинского муниципального района на 2014 - 2024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7.3.</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Строительство, приобретение, реконструкция и ремонт муниципального имущества Грязинского муниципального района на 2014 - 2024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7.4.</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Дорожная деятельность в отношении автомобильных дорог местного значения в границах населенных пунктов сельских поселений и вне границ населенных пунктов в границах Грязинского муниципального района на 2014 - 2024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8</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Профилактика терроризма и экстремизма, а также минимизация и (или) ликвидация последствий их проявлений в Грязинском муниципальном районе на 2022-2024 годы</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8.1</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Профилактика терроризма, а также минимизация и (или) ликвидация последствий его проявлений на территории Грязинского муниципального района</w:t>
            </w:r>
          </w:p>
        </w:tc>
      </w:tr>
      <w:tr w:rsidR="00910F29" w:rsidRPr="00CC181A" w:rsidTr="00DE63F3">
        <w:tc>
          <w:tcPr>
            <w:tcW w:w="624" w:type="dxa"/>
          </w:tcPr>
          <w:p w:rsidR="00910F29" w:rsidRPr="00CC181A" w:rsidRDefault="00910F29" w:rsidP="00DE63F3">
            <w:pPr>
              <w:pStyle w:val="ConsPlusNormal"/>
              <w:jc w:val="center"/>
              <w:rPr>
                <w:rFonts w:ascii="Times New Roman" w:hAnsi="Times New Roman" w:cs="Times New Roman"/>
                <w:sz w:val="28"/>
                <w:szCs w:val="28"/>
              </w:rPr>
            </w:pPr>
            <w:r w:rsidRPr="00CC181A">
              <w:rPr>
                <w:rFonts w:ascii="Times New Roman" w:hAnsi="Times New Roman" w:cs="Times New Roman"/>
                <w:sz w:val="28"/>
                <w:szCs w:val="28"/>
              </w:rPr>
              <w:t>8.2</w:t>
            </w:r>
          </w:p>
        </w:tc>
        <w:tc>
          <w:tcPr>
            <w:tcW w:w="8447" w:type="dxa"/>
          </w:tcPr>
          <w:p w:rsidR="00910F29" w:rsidRPr="00CC181A" w:rsidRDefault="00910F29" w:rsidP="00DE63F3">
            <w:pPr>
              <w:pStyle w:val="ConsPlusNormal"/>
              <w:rPr>
                <w:rFonts w:ascii="Times New Roman" w:hAnsi="Times New Roman" w:cs="Times New Roman"/>
                <w:sz w:val="28"/>
                <w:szCs w:val="28"/>
              </w:rPr>
            </w:pPr>
            <w:r w:rsidRPr="00CC181A">
              <w:rPr>
                <w:rFonts w:ascii="Times New Roman" w:hAnsi="Times New Roman" w:cs="Times New Roman"/>
                <w:sz w:val="28"/>
                <w:szCs w:val="28"/>
              </w:rPr>
              <w:t>Реализация мер по предупреждению экстремистской деятельности, минимизация и (или) ликвидации проявлений экстремизма на территории Грязинского муниципального района</w:t>
            </w:r>
          </w:p>
        </w:tc>
      </w:tr>
    </w:tbl>
    <w:p w:rsidR="00910F29" w:rsidRPr="00CC181A" w:rsidRDefault="00910F29" w:rsidP="00910F29">
      <w:pPr>
        <w:pStyle w:val="ConsPlusNormal"/>
        <w:jc w:val="both"/>
        <w:rPr>
          <w:rFonts w:ascii="Times New Roman" w:hAnsi="Times New Roman" w:cs="Times New Roman"/>
          <w:sz w:val="28"/>
          <w:szCs w:val="28"/>
        </w:rPr>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pPr>
    </w:p>
    <w:p w:rsidR="00910F29" w:rsidRDefault="00910F29" w:rsidP="00910F29">
      <w:pPr>
        <w:pStyle w:val="ConsPlusNormal"/>
        <w:jc w:val="both"/>
        <w:sectPr w:rsidR="00910F29" w:rsidSect="00DE63F3">
          <w:pgSz w:w="11905" w:h="16838"/>
          <w:pgMar w:top="1134" w:right="850" w:bottom="1134" w:left="993" w:header="0" w:footer="0" w:gutter="0"/>
          <w:cols w:space="720"/>
          <w:docGrid w:linePitch="299"/>
        </w:sectPr>
      </w:pPr>
    </w:p>
    <w:p w:rsidR="00910F29" w:rsidRPr="009B76B2" w:rsidRDefault="00910F29" w:rsidP="00910F29">
      <w:pPr>
        <w:pStyle w:val="ConsPlusNormal"/>
        <w:jc w:val="right"/>
        <w:outlineLvl w:val="1"/>
        <w:rPr>
          <w:rFonts w:ascii="Times New Roman" w:hAnsi="Times New Roman" w:cs="Times New Roman"/>
          <w:sz w:val="28"/>
          <w:szCs w:val="28"/>
        </w:rPr>
      </w:pPr>
      <w:r w:rsidRPr="009B76B2">
        <w:rPr>
          <w:rFonts w:ascii="Times New Roman" w:hAnsi="Times New Roman" w:cs="Times New Roman"/>
          <w:sz w:val="28"/>
          <w:szCs w:val="28"/>
        </w:rPr>
        <w:lastRenderedPageBreak/>
        <w:t>Приложение 3</w:t>
      </w:r>
    </w:p>
    <w:p w:rsidR="00910F29" w:rsidRPr="009B76B2" w:rsidRDefault="00910F29" w:rsidP="00910F29">
      <w:pPr>
        <w:pStyle w:val="ConsPlusNormal"/>
        <w:jc w:val="both"/>
        <w:rPr>
          <w:rFonts w:ascii="Times New Roman" w:hAnsi="Times New Roman" w:cs="Times New Roman"/>
          <w:sz w:val="28"/>
          <w:szCs w:val="28"/>
        </w:rPr>
      </w:pPr>
    </w:p>
    <w:p w:rsidR="00910F29" w:rsidRPr="009B76B2" w:rsidRDefault="00910F29" w:rsidP="00910F29">
      <w:pPr>
        <w:pStyle w:val="ConsPlusTitle"/>
        <w:jc w:val="center"/>
        <w:rPr>
          <w:rFonts w:ascii="Times New Roman" w:hAnsi="Times New Roman" w:cs="Times New Roman"/>
          <w:sz w:val="28"/>
          <w:szCs w:val="28"/>
        </w:rPr>
      </w:pPr>
      <w:bookmarkStart w:id="3" w:name="P2643"/>
      <w:bookmarkEnd w:id="3"/>
      <w:r w:rsidRPr="009B76B2">
        <w:rPr>
          <w:rFonts w:ascii="Times New Roman" w:hAnsi="Times New Roman" w:cs="Times New Roman"/>
          <w:sz w:val="28"/>
          <w:szCs w:val="28"/>
        </w:rPr>
        <w:t>ПЕРЕЧЕНЬ</w:t>
      </w:r>
    </w:p>
    <w:p w:rsidR="00910F29" w:rsidRPr="009B76B2" w:rsidRDefault="00910F29" w:rsidP="00910F29">
      <w:pPr>
        <w:pStyle w:val="ConsPlusTitle"/>
        <w:jc w:val="center"/>
        <w:rPr>
          <w:rFonts w:ascii="Times New Roman" w:hAnsi="Times New Roman" w:cs="Times New Roman"/>
          <w:sz w:val="28"/>
          <w:szCs w:val="28"/>
        </w:rPr>
      </w:pPr>
      <w:r w:rsidRPr="009B76B2">
        <w:rPr>
          <w:rFonts w:ascii="Times New Roman" w:hAnsi="Times New Roman" w:cs="Times New Roman"/>
          <w:sz w:val="28"/>
          <w:szCs w:val="28"/>
        </w:rPr>
        <w:t>КРУПНЫХ ИНВЕСТИЦИОННЫХ ПРОЕКТОВ ПО ГРЯЗИНСКОМУ МУНИЦИПАЛЬНОМУ РАЙОНУ</w:t>
      </w:r>
    </w:p>
    <w:p w:rsidR="00910F29" w:rsidRPr="009B76B2" w:rsidRDefault="00910F29" w:rsidP="00910F29">
      <w:pPr>
        <w:pStyle w:val="ConsPlusTitle"/>
        <w:jc w:val="center"/>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3118"/>
        <w:gridCol w:w="2977"/>
        <w:gridCol w:w="2552"/>
      </w:tblGrid>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N</w:t>
            </w:r>
          </w:p>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п/п</w:t>
            </w:r>
          </w:p>
        </w:tc>
        <w:tc>
          <w:tcPr>
            <w:tcW w:w="3969"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Наименование инвестиционного проекта</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Объем инвестиций, млн. руб.</w:t>
            </w:r>
          </w:p>
        </w:tc>
        <w:tc>
          <w:tcPr>
            <w:tcW w:w="3118"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Адрес</w:t>
            </w:r>
          </w:p>
        </w:tc>
        <w:tc>
          <w:tcPr>
            <w:tcW w:w="297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Наименование инвестора</w:t>
            </w:r>
          </w:p>
        </w:tc>
        <w:tc>
          <w:tcPr>
            <w:tcW w:w="2552"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Срок реализации</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1.</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 xml:space="preserve">Капитальный ремонт моста через р. Матыра </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482</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 Грязи</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2022 - 2023 гг.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Ремонт дорожного покрытия ул. Орджоникидзе</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 xml:space="preserve"> </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 Грязи</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2023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3.</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Капитальный ремонт МБОУ СОШ № 4</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30</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 Грязи</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2023 гг.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4.</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Капитальный ремонт МБОУ СОШ с. Б.Самовец</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75</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Грязинский район, с. Б. Самовец</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2023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5</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водопровода</w:t>
            </w:r>
          </w:p>
        </w:tc>
        <w:tc>
          <w:tcPr>
            <w:tcW w:w="1985" w:type="dxa"/>
          </w:tcPr>
          <w:p w:rsidR="00910F29" w:rsidRPr="009B76B2" w:rsidRDefault="00910F29" w:rsidP="00DE63F3">
            <w:pPr>
              <w:pStyle w:val="ConsPlusNormal"/>
              <w:rPr>
                <w:rFonts w:ascii="Times New Roman" w:hAnsi="Times New Roman" w:cs="Times New Roman"/>
                <w:sz w:val="28"/>
                <w:szCs w:val="28"/>
              </w:rPr>
            </w:pP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 Грязи, Северо-Восточный район</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2030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6</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газопровода</w:t>
            </w:r>
          </w:p>
        </w:tc>
        <w:tc>
          <w:tcPr>
            <w:tcW w:w="1985" w:type="dxa"/>
          </w:tcPr>
          <w:p w:rsidR="00910F29" w:rsidRPr="009B76B2" w:rsidRDefault="00910F29" w:rsidP="00DE63F3">
            <w:pPr>
              <w:pStyle w:val="ConsPlusNormal"/>
              <w:rPr>
                <w:rFonts w:ascii="Times New Roman" w:hAnsi="Times New Roman" w:cs="Times New Roman"/>
                <w:sz w:val="28"/>
                <w:szCs w:val="28"/>
              </w:rPr>
            </w:pP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 Грязи, Северо-Восточный район</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2030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7</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электросетей</w:t>
            </w:r>
          </w:p>
        </w:tc>
        <w:tc>
          <w:tcPr>
            <w:tcW w:w="1985" w:type="dxa"/>
          </w:tcPr>
          <w:p w:rsidR="00910F29" w:rsidRPr="009B76B2" w:rsidRDefault="00910F29" w:rsidP="00DE63F3">
            <w:pPr>
              <w:pStyle w:val="ConsPlusNormal"/>
              <w:rPr>
                <w:rFonts w:ascii="Times New Roman" w:hAnsi="Times New Roman" w:cs="Times New Roman"/>
                <w:sz w:val="28"/>
                <w:szCs w:val="28"/>
              </w:rPr>
            </w:pP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 Грязи, Северо-Восточный район</w:t>
            </w:r>
          </w:p>
        </w:tc>
        <w:tc>
          <w:tcPr>
            <w:tcW w:w="2977" w:type="dxa"/>
          </w:tcPr>
          <w:p w:rsidR="00910F29" w:rsidRPr="009B76B2" w:rsidRDefault="00910F29" w:rsidP="00DE63F3">
            <w:pPr>
              <w:pStyle w:val="ConsPlusNormal"/>
              <w:rPr>
                <w:rFonts w:ascii="Times New Roman" w:hAnsi="Times New Roman" w:cs="Times New Roman"/>
                <w:sz w:val="28"/>
                <w:szCs w:val="28"/>
              </w:rPr>
            </w:pP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2030 гг.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8</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 xml:space="preserve">Производство изделий из стекла  </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5921,5</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«ЧСЗ-Липецк»</w:t>
            </w:r>
          </w:p>
        </w:tc>
        <w:tc>
          <w:tcPr>
            <w:tcW w:w="2552"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теплоэнергетического оборудования, модульных и компонентных котельных, когенерационных установок</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1036,2</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«ПК Рационал»</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10</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промышленного холодильного и вентиляционного оборудования</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315</w:t>
            </w:r>
          </w:p>
        </w:tc>
        <w:tc>
          <w:tcPr>
            <w:tcW w:w="3118"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«Алтаир»</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11</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металлокорда, бортовой проволоки и стальной фибры Dramix</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4739</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«Бекарт Липецк»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алюминиевых  профилей, комплектующих и аксессуаров, используемых при изготовлении светопрозрачных конструкций</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358,5</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«АЛУ-ПРО»</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13</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уплотнителей для стекольной продукции</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282,1</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«Фенци»</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14</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пластиковых капсулированных гильз гражданского назначения</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1021</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«Гражданские припасы»</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компонентов, технологических деталей для изготовления автомобильных шин и прочих резинотехнических изделий</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230</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«Ланксесс»</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16</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зерноперерабатывающего оборудования</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78</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«ТриоТТ Липецк»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17</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хранение и реализация лакокрасочных покрытий собственного производства</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5394</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«ППГ Индастриз Липецк»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18</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современных систем ограждения периметра и  оборудования отрасли сельхозмашиностроения</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1053</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«Техна»</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19</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электрической распределительной и регулирующей аппаратуры</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859</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«АББ Электрооборудование»</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20</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монтаж, обслуживание и продажа отопительного, холодильного и другого аналогичного оборудования</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4584</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Виссман Липецк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21</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опалубки и строительных металлических конструкций, изделий и их частей</w:t>
            </w:r>
          </w:p>
        </w:tc>
        <w:tc>
          <w:tcPr>
            <w:tcW w:w="1985"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1030</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«Дока Липецк»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2</w:t>
            </w:r>
            <w:r w:rsidRPr="009B76B2">
              <w:rPr>
                <w:rFonts w:ascii="Times New Roman" w:hAnsi="Times New Roman" w:cs="Times New Roman"/>
                <w:sz w:val="28"/>
                <w:szCs w:val="28"/>
              </w:rPr>
              <w:t>2.</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автомобильных шин "YOKOHAMA"</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8615</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"ЙОКОХАМА Р.П.З."</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23</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Производство теплообменного оборудования, дверей для холодильных машин и камер.</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1064,5</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"СЭСТ-ЛЮВЭ"</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24</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производству кабеленесущих систем, систем молниезащиты и заземления, систем креплений и монтажа, в том числе транспортировка и хранение элементов указанных систем</w:t>
            </w:r>
          </w:p>
        </w:tc>
        <w:tc>
          <w:tcPr>
            <w:tcW w:w="1985" w:type="dxa"/>
          </w:tcPr>
          <w:p w:rsidR="00910F29" w:rsidRPr="009B76B2" w:rsidRDefault="00910F29" w:rsidP="00DE63F3">
            <w:pPr>
              <w:pStyle w:val="ConsPlusNormal"/>
              <w:jc w:val="center"/>
              <w:rPr>
                <w:rFonts w:ascii="Times New Roman" w:hAnsi="Times New Roman" w:cs="Times New Roman"/>
                <w:sz w:val="28"/>
                <w:szCs w:val="28"/>
                <w:lang w:val="en-US"/>
              </w:rPr>
            </w:pPr>
            <w:r w:rsidRPr="009B76B2">
              <w:rPr>
                <w:rFonts w:ascii="Times New Roman" w:hAnsi="Times New Roman" w:cs="Times New Roman"/>
                <w:sz w:val="28"/>
                <w:szCs w:val="28"/>
                <w:lang w:val="en-US"/>
              </w:rPr>
              <w:t>3619</w:t>
            </w:r>
            <w:r w:rsidRPr="009B76B2">
              <w:rPr>
                <w:rFonts w:ascii="Times New Roman" w:hAnsi="Times New Roman" w:cs="Times New Roman"/>
                <w:sz w:val="28"/>
                <w:szCs w:val="28"/>
              </w:rPr>
              <w:t>,</w:t>
            </w:r>
            <w:r w:rsidRPr="009B76B2">
              <w:rPr>
                <w:rFonts w:ascii="Times New Roman" w:hAnsi="Times New Roman" w:cs="Times New Roman"/>
                <w:sz w:val="28"/>
                <w:szCs w:val="28"/>
                <w:lang w:val="en-US"/>
              </w:rPr>
              <w:t>5</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"ОБО Беттерманн Производство"</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25</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производству радиаторов и котлов центрального отопления</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1521</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"ФОНДИТАЛЬ"</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w:t>
            </w:r>
            <w:r>
              <w:rPr>
                <w:rFonts w:ascii="Times New Roman" w:hAnsi="Times New Roman" w:cs="Times New Roman"/>
                <w:sz w:val="28"/>
                <w:szCs w:val="28"/>
              </w:rPr>
              <w:t>6</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 xml:space="preserve">Строительство завода по производству, переработке и </w:t>
            </w:r>
            <w:r w:rsidRPr="009B76B2">
              <w:rPr>
                <w:rFonts w:ascii="Times New Roman" w:hAnsi="Times New Roman" w:cs="Times New Roman"/>
                <w:sz w:val="28"/>
                <w:szCs w:val="28"/>
              </w:rPr>
              <w:lastRenderedPageBreak/>
              <w:t>консервированию овощей</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lastRenderedPageBreak/>
              <w:t>12290</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 xml:space="preserve">Грязинский р-н, с. Казинка, ОЭЗ ППТ </w:t>
            </w:r>
            <w:r w:rsidRPr="009B76B2">
              <w:rPr>
                <w:rFonts w:ascii="Times New Roman" w:hAnsi="Times New Roman"/>
                <w:sz w:val="28"/>
                <w:szCs w:val="28"/>
              </w:rPr>
              <w:lastRenderedPageBreak/>
              <w:t>"Липецк"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lastRenderedPageBreak/>
              <w:t>ООО «ЛВМ РУС»</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w:t>
            </w:r>
            <w:r>
              <w:rPr>
                <w:rFonts w:ascii="Times New Roman" w:hAnsi="Times New Roman" w:cs="Times New Roman"/>
                <w:sz w:val="28"/>
                <w:szCs w:val="28"/>
              </w:rPr>
              <w:t>7</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производству геосинтетических материалов</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275</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"ПРЕСТОРУСЬ"</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w:t>
            </w:r>
            <w:r>
              <w:rPr>
                <w:rFonts w:ascii="Times New Roman" w:hAnsi="Times New Roman" w:cs="Times New Roman"/>
                <w:sz w:val="28"/>
                <w:szCs w:val="28"/>
              </w:rPr>
              <w:t>8</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производству кормов для животных и пищевых добавок для людей</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1280</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"Кемин Индастриз (Липецк)"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29</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обработке металлопроката, в том числе по нанесению декоративного покрытия</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401</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"БС Процессинг"</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3</w:t>
            </w:r>
            <w:r>
              <w:rPr>
                <w:rFonts w:ascii="Times New Roman" w:hAnsi="Times New Roman" w:cs="Times New Roman"/>
                <w:sz w:val="28"/>
                <w:szCs w:val="28"/>
              </w:rPr>
              <w:t>0</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производству ступеней для установок электроцентробежных насосов (УЭЦН)</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3804</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"РЭДАЛИТ Шлюмберже"</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3</w:t>
            </w:r>
            <w:r>
              <w:rPr>
                <w:rFonts w:ascii="Times New Roman" w:hAnsi="Times New Roman" w:cs="Times New Roman"/>
                <w:sz w:val="28"/>
                <w:szCs w:val="28"/>
              </w:rPr>
              <w:t>1</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Строительство завода по производству тепличных конструкций и оборудования</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2154</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"Липецкий завод тепличных конструкций" (ООО "ЛЗТК")</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3</w:t>
            </w:r>
            <w:r>
              <w:rPr>
                <w:rFonts w:ascii="Times New Roman" w:hAnsi="Times New Roman" w:cs="Times New Roman"/>
                <w:sz w:val="28"/>
                <w:szCs w:val="28"/>
              </w:rPr>
              <w:t>2</w:t>
            </w:r>
            <w:r w:rsidRPr="009B76B2">
              <w:rPr>
                <w:rFonts w:ascii="Times New Roman" w:hAnsi="Times New Roman" w:cs="Times New Roman"/>
                <w:sz w:val="28"/>
                <w:szCs w:val="28"/>
              </w:rPr>
              <w:t>.</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 xml:space="preserve">Строительство завода по производству электротехнической </w:t>
            </w:r>
            <w:r w:rsidRPr="009B76B2">
              <w:rPr>
                <w:rFonts w:ascii="Times New Roman" w:hAnsi="Times New Roman" w:cs="Times New Roman"/>
                <w:sz w:val="28"/>
                <w:szCs w:val="28"/>
              </w:rPr>
              <w:lastRenderedPageBreak/>
              <w:t>продукции, систем автоматизации, систем и продуктов пожарообнаружения, газовых детекторов, средств индивидуальной защиты</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lastRenderedPageBreak/>
              <w:t>400</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 xml:space="preserve">Грязинский р-н, с. Казинка, ОЭЗ ППТ </w:t>
            </w:r>
            <w:r w:rsidRPr="009B76B2">
              <w:rPr>
                <w:rFonts w:ascii="Times New Roman" w:hAnsi="Times New Roman"/>
                <w:sz w:val="28"/>
                <w:szCs w:val="28"/>
              </w:rPr>
              <w:lastRenderedPageBreak/>
              <w:t>"Липецк"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lastRenderedPageBreak/>
              <w:t>ООО "Систем Сенсор Технологии"</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r w:rsidR="00910F29" w:rsidRPr="009B76B2" w:rsidTr="00DE63F3">
        <w:tc>
          <w:tcPr>
            <w:tcW w:w="567" w:type="dxa"/>
          </w:tcPr>
          <w:p w:rsidR="00910F29" w:rsidRPr="009B76B2" w:rsidRDefault="00910F29" w:rsidP="00DE63F3">
            <w:pPr>
              <w:pStyle w:val="ConsPlusNormal"/>
              <w:jc w:val="center"/>
              <w:rPr>
                <w:rFonts w:ascii="Times New Roman" w:hAnsi="Times New Roman" w:cs="Times New Roman"/>
                <w:sz w:val="28"/>
                <w:szCs w:val="28"/>
              </w:rPr>
            </w:pPr>
            <w:r>
              <w:rPr>
                <w:rFonts w:ascii="Times New Roman" w:hAnsi="Times New Roman" w:cs="Times New Roman"/>
                <w:sz w:val="28"/>
                <w:szCs w:val="28"/>
              </w:rPr>
              <w:t>3</w:t>
            </w:r>
            <w:r w:rsidRPr="009B76B2">
              <w:rPr>
                <w:rFonts w:ascii="Times New Roman" w:hAnsi="Times New Roman" w:cs="Times New Roman"/>
                <w:sz w:val="28"/>
                <w:szCs w:val="28"/>
              </w:rPr>
              <w:t>3.</w:t>
            </w:r>
          </w:p>
        </w:tc>
        <w:tc>
          <w:tcPr>
            <w:tcW w:w="3969"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Промышленная переработка натурального кофе</w:t>
            </w:r>
          </w:p>
        </w:tc>
        <w:tc>
          <w:tcPr>
            <w:tcW w:w="1985" w:type="dxa"/>
          </w:tcPr>
          <w:p w:rsidR="00910F29" w:rsidRPr="009B76B2" w:rsidRDefault="00910F29" w:rsidP="00DE63F3">
            <w:pPr>
              <w:pStyle w:val="ConsPlusNormal"/>
              <w:jc w:val="center"/>
              <w:rPr>
                <w:rFonts w:ascii="Times New Roman" w:hAnsi="Times New Roman" w:cs="Times New Roman"/>
                <w:sz w:val="28"/>
                <w:szCs w:val="28"/>
              </w:rPr>
            </w:pPr>
            <w:r w:rsidRPr="009B76B2">
              <w:rPr>
                <w:rFonts w:ascii="Times New Roman" w:hAnsi="Times New Roman" w:cs="Times New Roman"/>
                <w:sz w:val="28"/>
                <w:szCs w:val="28"/>
              </w:rPr>
              <w:t>220</w:t>
            </w:r>
          </w:p>
        </w:tc>
        <w:tc>
          <w:tcPr>
            <w:tcW w:w="3118"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Грязинский р-н, с. Казинка, ОЭЗ ППТ "Липецк"</w:t>
            </w:r>
          </w:p>
        </w:tc>
        <w:tc>
          <w:tcPr>
            <w:tcW w:w="2977" w:type="dxa"/>
          </w:tcPr>
          <w:p w:rsidR="00910F29" w:rsidRPr="009B76B2" w:rsidRDefault="00910F29" w:rsidP="00DE63F3">
            <w:pPr>
              <w:pStyle w:val="ConsPlusNormal"/>
              <w:rPr>
                <w:rFonts w:ascii="Times New Roman" w:hAnsi="Times New Roman" w:cs="Times New Roman"/>
                <w:sz w:val="28"/>
                <w:szCs w:val="28"/>
              </w:rPr>
            </w:pPr>
            <w:r w:rsidRPr="009B76B2">
              <w:rPr>
                <w:rFonts w:ascii="Times New Roman" w:hAnsi="Times New Roman" w:cs="Times New Roman"/>
                <w:sz w:val="28"/>
                <w:szCs w:val="28"/>
              </w:rPr>
              <w:t>ООО "Липецкая кофейная компания"</w:t>
            </w:r>
          </w:p>
        </w:tc>
        <w:tc>
          <w:tcPr>
            <w:tcW w:w="2552" w:type="dxa"/>
          </w:tcPr>
          <w:p w:rsidR="00910F29" w:rsidRPr="009B76B2" w:rsidRDefault="00910F29" w:rsidP="00DE63F3">
            <w:pPr>
              <w:rPr>
                <w:rFonts w:ascii="Times New Roman" w:hAnsi="Times New Roman"/>
                <w:sz w:val="28"/>
                <w:szCs w:val="28"/>
              </w:rPr>
            </w:pPr>
            <w:r w:rsidRPr="009B76B2">
              <w:rPr>
                <w:rFonts w:ascii="Times New Roman" w:hAnsi="Times New Roman"/>
                <w:sz w:val="28"/>
                <w:szCs w:val="28"/>
              </w:rPr>
              <w:t>2024 г.</w:t>
            </w:r>
          </w:p>
        </w:tc>
      </w:tr>
    </w:tbl>
    <w:p w:rsidR="00910F29" w:rsidRDefault="00910F29" w:rsidP="00910F29">
      <w:pPr>
        <w:sectPr w:rsidR="00910F29" w:rsidSect="00DE63F3">
          <w:pgSz w:w="16838" w:h="11905" w:orient="landscape"/>
          <w:pgMar w:top="993" w:right="1134" w:bottom="850" w:left="1134" w:header="0" w:footer="0" w:gutter="0"/>
          <w:cols w:space="720"/>
          <w:docGrid w:linePitch="299"/>
        </w:sectPr>
      </w:pPr>
    </w:p>
    <w:p w:rsidR="00452847" w:rsidRPr="006917D4" w:rsidRDefault="00452847">
      <w:pPr>
        <w:pStyle w:val="ConsPlusNormal"/>
        <w:jc w:val="right"/>
        <w:outlineLvl w:val="1"/>
        <w:rPr>
          <w:rFonts w:ascii="Times New Roman" w:hAnsi="Times New Roman" w:cs="Times New Roman"/>
          <w:sz w:val="28"/>
          <w:szCs w:val="28"/>
        </w:rPr>
      </w:pPr>
      <w:r w:rsidRPr="006917D4">
        <w:rPr>
          <w:rFonts w:ascii="Times New Roman" w:hAnsi="Times New Roman" w:cs="Times New Roman"/>
          <w:sz w:val="28"/>
          <w:szCs w:val="28"/>
        </w:rPr>
        <w:lastRenderedPageBreak/>
        <w:t>Приложение 4</w:t>
      </w:r>
    </w:p>
    <w:p w:rsidR="00452847" w:rsidRPr="006917D4" w:rsidRDefault="00452847">
      <w:pPr>
        <w:pStyle w:val="ConsPlusNormal"/>
        <w:jc w:val="both"/>
        <w:rPr>
          <w:rFonts w:ascii="Times New Roman" w:hAnsi="Times New Roman" w:cs="Times New Roman"/>
          <w:sz w:val="28"/>
          <w:szCs w:val="28"/>
        </w:rPr>
      </w:pPr>
    </w:p>
    <w:p w:rsidR="00452847" w:rsidRPr="006917D4" w:rsidRDefault="00452847">
      <w:pPr>
        <w:pStyle w:val="ConsPlusTitle"/>
        <w:jc w:val="center"/>
        <w:rPr>
          <w:rFonts w:ascii="Times New Roman" w:hAnsi="Times New Roman" w:cs="Times New Roman"/>
          <w:sz w:val="28"/>
          <w:szCs w:val="28"/>
        </w:rPr>
      </w:pPr>
      <w:bookmarkStart w:id="4" w:name="P2930"/>
      <w:bookmarkEnd w:id="4"/>
      <w:r w:rsidRPr="006917D4">
        <w:rPr>
          <w:rFonts w:ascii="Times New Roman" w:hAnsi="Times New Roman" w:cs="Times New Roman"/>
          <w:sz w:val="28"/>
          <w:szCs w:val="28"/>
        </w:rPr>
        <w:t>ПОТЕНЦИАЛ</w:t>
      </w: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ГРЯЗИНСКОГО РАЙОНА</w:t>
      </w:r>
    </w:p>
    <w:p w:rsidR="00452847" w:rsidRPr="006917D4"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52847" w:rsidRPr="006917D4">
        <w:tc>
          <w:tcPr>
            <w:tcW w:w="60" w:type="dxa"/>
            <w:tcBorders>
              <w:top w:val="nil"/>
              <w:left w:val="nil"/>
              <w:bottom w:val="nil"/>
              <w:right w:val="nil"/>
            </w:tcBorders>
            <w:shd w:val="clear" w:color="auto" w:fill="CED3F1"/>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Список изменяющих документов</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 xml:space="preserve">(введено </w:t>
            </w:r>
            <w:hyperlink r:id="rId73">
              <w:r w:rsidRPr="006917D4">
                <w:rPr>
                  <w:rFonts w:ascii="Times New Roman" w:hAnsi="Times New Roman" w:cs="Times New Roman"/>
                  <w:color w:val="0000FF"/>
                  <w:sz w:val="28"/>
                  <w:szCs w:val="28"/>
                </w:rPr>
                <w:t>решением</w:t>
              </w:r>
            </w:hyperlink>
            <w:r w:rsidRPr="006917D4">
              <w:rPr>
                <w:rFonts w:ascii="Times New Roman" w:hAnsi="Times New Roman" w:cs="Times New Roman"/>
                <w:color w:val="392C69"/>
                <w:sz w:val="28"/>
                <w:szCs w:val="28"/>
              </w:rPr>
              <w:t xml:space="preserve"> Совета депутатов Грязинского муниципального района</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Липецкой обл. от 23.03.2010 N 193)</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r>
    </w:tbl>
    <w:p w:rsidR="00452847" w:rsidRDefault="00452847">
      <w:pPr>
        <w:pStyle w:val="ConsPlusNormal"/>
        <w:jc w:val="both"/>
      </w:pPr>
    </w:p>
    <w:p w:rsidR="00452847" w:rsidRDefault="00452847">
      <w:pPr>
        <w:pStyle w:val="ConsPlusNonformat"/>
        <w:jc w:val="both"/>
      </w:pPr>
      <w:r>
        <w:t>┌────────────────┐┌─┐     ┌───────────────────────────────────────────────┐</w:t>
      </w:r>
    </w:p>
    <w:p w:rsidR="00452847" w:rsidRDefault="00452847">
      <w:pPr>
        <w:pStyle w:val="ConsPlusNonformat"/>
        <w:jc w:val="both"/>
      </w:pPr>
      <w:r>
        <w:t>│  Транспортная  ││ │     │       Крупный железнодорожный узел, три       │</w:t>
      </w:r>
    </w:p>
    <w:p w:rsidR="00452847" w:rsidRDefault="00452847">
      <w:pPr>
        <w:pStyle w:val="ConsPlusNonformat"/>
        <w:jc w:val="both"/>
      </w:pPr>
      <w:r>
        <w:t>│ инфраструктура ││ │     │           железнодорожные станции.            │</w:t>
      </w:r>
    </w:p>
    <w:p w:rsidR="00452847" w:rsidRDefault="00452847">
      <w:pPr>
        <w:pStyle w:val="ConsPlusNonformat"/>
        <w:jc w:val="both"/>
      </w:pPr>
      <w:r>
        <w:t>│                ││ │     │  Протяженность автомобильных дорог - 613 км,  │</w:t>
      </w:r>
    </w:p>
    <w:p w:rsidR="00452847" w:rsidRDefault="00452847">
      <w:pPr>
        <w:pStyle w:val="ConsPlusNonformat"/>
        <w:jc w:val="both"/>
      </w:pPr>
      <w:r>
        <w:t>│                ││ │     │  в т.ч. с твердым покрытием - 574,1 км (94%)  │</w:t>
      </w:r>
    </w:p>
    <w:p w:rsidR="00452847" w:rsidRDefault="00452847">
      <w:pPr>
        <w:pStyle w:val="ConsPlusNonformat"/>
        <w:jc w:val="both"/>
      </w:pPr>
      <w:r>
        <w:t>└────────────────┘│ │     └───────────────────────────────────────────────┘</w:t>
      </w:r>
    </w:p>
    <w:p w:rsidR="00452847" w:rsidRDefault="00452847">
      <w:pPr>
        <w:pStyle w:val="ConsPlusNonformat"/>
        <w:jc w:val="both"/>
      </w:pPr>
      <w:r>
        <w:t>┌────────────────┐│ │     ┌───────────────────────────────────────────────┐</w:t>
      </w:r>
    </w:p>
    <w:p w:rsidR="00452847" w:rsidRDefault="00452847">
      <w:pPr>
        <w:pStyle w:val="ConsPlusNonformat"/>
        <w:jc w:val="both"/>
      </w:pPr>
      <w:r>
        <w:t>│   Культурно-   ││ │     │ Расположены 194 объекта историко-культурного  │</w:t>
      </w:r>
    </w:p>
    <w:p w:rsidR="00452847" w:rsidRDefault="00452847">
      <w:pPr>
        <w:pStyle w:val="ConsPlusNonformat"/>
        <w:jc w:val="both"/>
      </w:pPr>
      <w:r>
        <w:t>│ рекреационные  ││ │     │       наследия, в т.ч. 17 - охраняемые        │</w:t>
      </w:r>
    </w:p>
    <w:p w:rsidR="00452847" w:rsidRDefault="00452847">
      <w:pPr>
        <w:pStyle w:val="ConsPlusNonformat"/>
        <w:jc w:val="both"/>
      </w:pPr>
      <w:r>
        <w:t>│    ресурсы     ││ ││\   │                                               │</w:t>
      </w:r>
    </w:p>
    <w:p w:rsidR="00452847" w:rsidRDefault="00452847">
      <w:pPr>
        <w:pStyle w:val="ConsPlusNonformat"/>
        <w:jc w:val="both"/>
      </w:pPr>
      <w:r>
        <w:t>└────────────────┘│ ││ \  └───────────────────────────────────────────────┘</w:t>
      </w:r>
    </w:p>
    <w:p w:rsidR="00452847" w:rsidRDefault="00452847">
      <w:pPr>
        <w:pStyle w:val="ConsPlusNonformat"/>
        <w:jc w:val="both"/>
      </w:pPr>
      <w:r>
        <w:t>┌────────────────┐│ └┘  \ ┌───────────────────────────────────────────────┐</w:t>
      </w:r>
    </w:p>
    <w:p w:rsidR="00452847" w:rsidRDefault="00452847">
      <w:pPr>
        <w:pStyle w:val="ConsPlusNonformat"/>
        <w:jc w:val="both"/>
      </w:pPr>
      <w:r>
        <w:t>│ Неиспользуемые ││      \│  Неиспользуемые помещения - 33,3 тыс. кв. м,  │</w:t>
      </w:r>
    </w:p>
    <w:p w:rsidR="00452847" w:rsidRDefault="00452847">
      <w:pPr>
        <w:pStyle w:val="ConsPlusNonformat"/>
        <w:jc w:val="both"/>
      </w:pPr>
      <w:r>
        <w:t>│производственные││      /│                    в т.ч.                     │</w:t>
      </w:r>
    </w:p>
    <w:p w:rsidR="00452847" w:rsidRDefault="00452847">
      <w:pPr>
        <w:pStyle w:val="ConsPlusNonformat"/>
        <w:jc w:val="both"/>
      </w:pPr>
      <w:r>
        <w:t>│   помещения    ││ ┌┐  / │     - производственные - 26,7 тыс. кв. м;     │</w:t>
      </w:r>
    </w:p>
    <w:p w:rsidR="00452847" w:rsidRDefault="00452847">
      <w:pPr>
        <w:pStyle w:val="ConsPlusNonformat"/>
        <w:jc w:val="both"/>
      </w:pPr>
      <w:r>
        <w:t>│                ││ ││ /  │     - животноводческие - 2,7 тыс. кв. м;      │</w:t>
      </w:r>
    </w:p>
    <w:p w:rsidR="00452847" w:rsidRDefault="00452847">
      <w:pPr>
        <w:pStyle w:val="ConsPlusNonformat"/>
        <w:jc w:val="both"/>
      </w:pPr>
      <w:r>
        <w:t>│                ││ ││/   │         - торговые - 1,4 тыс. кв. м;          │</w:t>
      </w:r>
    </w:p>
    <w:p w:rsidR="00452847" w:rsidRDefault="00452847">
      <w:pPr>
        <w:pStyle w:val="ConsPlusNonformat"/>
        <w:jc w:val="both"/>
      </w:pPr>
      <w:r>
        <w:t>│                ││ │     │           - прочие - 2,5 тыс. кв. м           │</w:t>
      </w:r>
    </w:p>
    <w:p w:rsidR="00452847" w:rsidRDefault="00452847">
      <w:pPr>
        <w:pStyle w:val="ConsPlusNonformat"/>
        <w:jc w:val="both"/>
      </w:pPr>
      <w:r>
        <w:t>└────────────────┘│ │     └───────────────────────────────────────────────┘</w:t>
      </w:r>
    </w:p>
    <w:p w:rsidR="00452847" w:rsidRDefault="00452847">
      <w:pPr>
        <w:pStyle w:val="ConsPlusNonformat"/>
        <w:jc w:val="both"/>
      </w:pPr>
      <w:r>
        <w:t>┌────────────────┐│ │     ┌───────────────────────────────────────────────┐</w:t>
      </w:r>
    </w:p>
    <w:p w:rsidR="00452847" w:rsidRDefault="00452847">
      <w:pPr>
        <w:pStyle w:val="ConsPlusNonformat"/>
        <w:jc w:val="both"/>
      </w:pPr>
      <w:r>
        <w:t>│Трудовые ресурсы││ │     │    По состоянию на 01.01.10 2,8 тыс. чел.     │</w:t>
      </w:r>
    </w:p>
    <w:p w:rsidR="00452847" w:rsidRDefault="00452847">
      <w:pPr>
        <w:pStyle w:val="ConsPlusNonformat"/>
        <w:jc w:val="both"/>
      </w:pPr>
      <w:r>
        <w:t>│                ││ │     │      трудоспособного населения не занято      │</w:t>
      </w:r>
    </w:p>
    <w:p w:rsidR="00452847" w:rsidRDefault="00452847">
      <w:pPr>
        <w:pStyle w:val="ConsPlusNonformat"/>
        <w:jc w:val="both"/>
      </w:pPr>
      <w:r>
        <w:t>│                ││ │     │              в экономике (6,4%)               │</w:t>
      </w:r>
    </w:p>
    <w:p w:rsidR="00452847" w:rsidRDefault="00452847">
      <w:pPr>
        <w:pStyle w:val="ConsPlusNonformat"/>
        <w:jc w:val="both"/>
      </w:pPr>
      <w:r>
        <w:t>└────────────────┘└─┘     └───────────────────────────────────────────────┘</w:t>
      </w: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452847" w:rsidRPr="006917D4" w:rsidRDefault="00452847">
      <w:pPr>
        <w:pStyle w:val="ConsPlusNormal"/>
        <w:jc w:val="right"/>
        <w:outlineLvl w:val="1"/>
        <w:rPr>
          <w:rFonts w:ascii="Times New Roman" w:hAnsi="Times New Roman" w:cs="Times New Roman"/>
          <w:sz w:val="28"/>
          <w:szCs w:val="28"/>
        </w:rPr>
      </w:pPr>
      <w:r w:rsidRPr="006917D4">
        <w:rPr>
          <w:rFonts w:ascii="Times New Roman" w:hAnsi="Times New Roman" w:cs="Times New Roman"/>
          <w:sz w:val="28"/>
          <w:szCs w:val="28"/>
        </w:rPr>
        <w:lastRenderedPageBreak/>
        <w:t>Приложение 5</w:t>
      </w:r>
    </w:p>
    <w:p w:rsidR="00452847" w:rsidRPr="006917D4" w:rsidRDefault="00452847">
      <w:pPr>
        <w:pStyle w:val="ConsPlusNormal"/>
        <w:jc w:val="both"/>
        <w:rPr>
          <w:rFonts w:ascii="Times New Roman" w:hAnsi="Times New Roman" w:cs="Times New Roman"/>
          <w:sz w:val="28"/>
          <w:szCs w:val="28"/>
        </w:rPr>
      </w:pPr>
    </w:p>
    <w:p w:rsidR="00452847" w:rsidRPr="006917D4" w:rsidRDefault="00452847">
      <w:pPr>
        <w:pStyle w:val="ConsPlusTitle"/>
        <w:jc w:val="center"/>
        <w:rPr>
          <w:rFonts w:ascii="Times New Roman" w:hAnsi="Times New Roman" w:cs="Times New Roman"/>
          <w:sz w:val="28"/>
          <w:szCs w:val="28"/>
        </w:rPr>
      </w:pPr>
      <w:bookmarkStart w:id="5" w:name="P2967"/>
      <w:bookmarkEnd w:id="5"/>
      <w:r w:rsidRPr="006917D4">
        <w:rPr>
          <w:rFonts w:ascii="Times New Roman" w:hAnsi="Times New Roman" w:cs="Times New Roman"/>
          <w:sz w:val="28"/>
          <w:szCs w:val="28"/>
        </w:rPr>
        <w:t>ПОТЕНЦИАЛ</w:t>
      </w: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ГРЯЗИНСКОГО РАЙОНА</w:t>
      </w:r>
    </w:p>
    <w:p w:rsidR="00452847" w:rsidRPr="006917D4"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52847" w:rsidRPr="006917D4">
        <w:tc>
          <w:tcPr>
            <w:tcW w:w="60" w:type="dxa"/>
            <w:tcBorders>
              <w:top w:val="nil"/>
              <w:left w:val="nil"/>
              <w:bottom w:val="nil"/>
              <w:right w:val="nil"/>
            </w:tcBorders>
            <w:shd w:val="clear" w:color="auto" w:fill="CED3F1"/>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Список изменяющих документов</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 xml:space="preserve">(введено </w:t>
            </w:r>
            <w:hyperlink r:id="rId74">
              <w:r w:rsidRPr="006917D4">
                <w:rPr>
                  <w:rFonts w:ascii="Times New Roman" w:hAnsi="Times New Roman" w:cs="Times New Roman"/>
                  <w:color w:val="0000FF"/>
                  <w:sz w:val="28"/>
                  <w:szCs w:val="28"/>
                </w:rPr>
                <w:t>решением</w:t>
              </w:r>
            </w:hyperlink>
            <w:r w:rsidRPr="006917D4">
              <w:rPr>
                <w:rFonts w:ascii="Times New Roman" w:hAnsi="Times New Roman" w:cs="Times New Roman"/>
                <w:color w:val="392C69"/>
                <w:sz w:val="28"/>
                <w:szCs w:val="28"/>
              </w:rPr>
              <w:t xml:space="preserve"> Совета депутатов Грязинского муниципального района</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Липецкой обл. от 23.03.2010 N 193)</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r>
    </w:tbl>
    <w:p w:rsidR="00452847" w:rsidRDefault="00452847">
      <w:pPr>
        <w:pStyle w:val="ConsPlusNormal"/>
        <w:jc w:val="both"/>
      </w:pPr>
    </w:p>
    <w:p w:rsidR="00452847" w:rsidRDefault="00452847">
      <w:pPr>
        <w:pStyle w:val="ConsPlusNonformat"/>
        <w:jc w:val="both"/>
      </w:pPr>
      <w:r>
        <w:t>┌────────────────┐┌─┐     ┌───────────────────────────────────────────────┐</w:t>
      </w:r>
    </w:p>
    <w:p w:rsidR="00452847" w:rsidRDefault="00452847">
      <w:pPr>
        <w:pStyle w:val="ConsPlusNonformat"/>
        <w:jc w:val="both"/>
      </w:pPr>
      <w:r>
        <w:t>│    Полезные    ││ │     │       Пески силикатные - 32821 тыс. м3.       │</w:t>
      </w:r>
    </w:p>
    <w:p w:rsidR="00452847" w:rsidRDefault="00452847">
      <w:pPr>
        <w:pStyle w:val="ConsPlusNonformat"/>
        <w:jc w:val="both"/>
      </w:pPr>
      <w:r>
        <w:t>│   ископаемые   ││ │     │      Пески строительные - 30773 тыс. м3.      │</w:t>
      </w:r>
    </w:p>
    <w:p w:rsidR="00452847" w:rsidRDefault="00452847">
      <w:pPr>
        <w:pStyle w:val="ConsPlusNonformat"/>
        <w:jc w:val="both"/>
      </w:pPr>
      <w:r>
        <w:t>│                ││ │     │                Торф - 309 тыс.                │</w:t>
      </w:r>
    </w:p>
    <w:p w:rsidR="00452847" w:rsidRDefault="00452847">
      <w:pPr>
        <w:pStyle w:val="ConsPlusNonformat"/>
        <w:jc w:val="both"/>
      </w:pPr>
      <w:r>
        <w:t>│                ││ │     │Карбонатные породы строительные - 3830 тыс. м3 │</w:t>
      </w:r>
    </w:p>
    <w:p w:rsidR="00452847" w:rsidRDefault="00452847">
      <w:pPr>
        <w:pStyle w:val="ConsPlusNonformat"/>
        <w:jc w:val="both"/>
      </w:pPr>
      <w:r>
        <w:t>└────────────────┘│ │     └───────────────────────────────────────────────┘</w:t>
      </w:r>
    </w:p>
    <w:p w:rsidR="00452847" w:rsidRDefault="00452847">
      <w:pPr>
        <w:pStyle w:val="ConsPlusNonformat"/>
        <w:jc w:val="both"/>
      </w:pPr>
      <w:r>
        <w:t>┌────────────────┐│ ││\   ┌───────────────────────────────────────────────┐</w:t>
      </w:r>
    </w:p>
    <w:p w:rsidR="00452847" w:rsidRDefault="00452847">
      <w:pPr>
        <w:pStyle w:val="ConsPlusNonformat"/>
        <w:jc w:val="both"/>
      </w:pPr>
      <w:r>
        <w:t>│   Земельные    ││ ││ \  │  Площадь пашни на 01.01.2010 - 63,3 тыс. га.  │</w:t>
      </w:r>
    </w:p>
    <w:p w:rsidR="00452847" w:rsidRDefault="00452847">
      <w:pPr>
        <w:pStyle w:val="ConsPlusNonformat"/>
        <w:jc w:val="both"/>
      </w:pPr>
      <w:r>
        <w:t>│    ресурсы     ││ └┘  \ │Возможность выделения земель под инвестиционные│</w:t>
      </w:r>
    </w:p>
    <w:p w:rsidR="00452847" w:rsidRDefault="00452847">
      <w:pPr>
        <w:pStyle w:val="ConsPlusNonformat"/>
        <w:jc w:val="both"/>
      </w:pPr>
      <w:r>
        <w:t>│                ││      \│               площадки - 30 га.               │</w:t>
      </w:r>
    </w:p>
    <w:p w:rsidR="00452847" w:rsidRDefault="00452847">
      <w:pPr>
        <w:pStyle w:val="ConsPlusNonformat"/>
        <w:jc w:val="both"/>
      </w:pPr>
      <w:r>
        <w:t>│                ││      /│ Земли фонда перераспределения - 1,3 тыс. га.  │</w:t>
      </w:r>
    </w:p>
    <w:p w:rsidR="00452847" w:rsidRDefault="00452847">
      <w:pPr>
        <w:pStyle w:val="ConsPlusNonformat"/>
        <w:jc w:val="both"/>
      </w:pPr>
      <w:r>
        <w:t>│                ││ ┌┐  / │         Земли поселений - 8,3 тыс. га         │</w:t>
      </w:r>
    </w:p>
    <w:p w:rsidR="00452847" w:rsidRDefault="00452847">
      <w:pPr>
        <w:pStyle w:val="ConsPlusNonformat"/>
        <w:jc w:val="both"/>
      </w:pPr>
      <w:r>
        <w:t>└────────────────┘│ ││ /  └───────────────────────────────────────────────┘</w:t>
      </w:r>
    </w:p>
    <w:p w:rsidR="00452847" w:rsidRDefault="00452847">
      <w:pPr>
        <w:pStyle w:val="ConsPlusNonformat"/>
        <w:jc w:val="both"/>
      </w:pPr>
      <w:r>
        <w:t>┌────────────────┐│ ││/   ┌───────────────────────────────────────────────┐</w:t>
      </w:r>
    </w:p>
    <w:p w:rsidR="00452847" w:rsidRDefault="00452847">
      <w:pPr>
        <w:pStyle w:val="ConsPlusNonformat"/>
        <w:jc w:val="both"/>
      </w:pPr>
      <w:r>
        <w:t>│ Водные ресурсы ││ │     │Рекомендованы для использования - 14 объектов. │</w:t>
      </w:r>
    </w:p>
    <w:p w:rsidR="00452847" w:rsidRDefault="00452847">
      <w:pPr>
        <w:pStyle w:val="ConsPlusNonformat"/>
        <w:jc w:val="both"/>
      </w:pPr>
      <w:r>
        <w:t>│                ││ │     │           Обустроено - 12 объектов.           │</w:t>
      </w:r>
    </w:p>
    <w:p w:rsidR="00452847" w:rsidRDefault="00452847">
      <w:pPr>
        <w:pStyle w:val="ConsPlusNonformat"/>
        <w:jc w:val="both"/>
      </w:pPr>
      <w:r>
        <w:t>│                ││ │     │       Требуется обустроить - 2 объекта        │</w:t>
      </w:r>
    </w:p>
    <w:p w:rsidR="00452847" w:rsidRDefault="00452847">
      <w:pPr>
        <w:pStyle w:val="ConsPlusNonformat"/>
        <w:jc w:val="both"/>
      </w:pPr>
      <w:r>
        <w:t>└────────────────┘│ │     └───────────────────────────────────────────────┘</w:t>
      </w:r>
    </w:p>
    <w:p w:rsidR="00452847" w:rsidRDefault="00452847">
      <w:pPr>
        <w:pStyle w:val="ConsPlusNonformat"/>
        <w:jc w:val="both"/>
      </w:pPr>
      <w:r>
        <w:t>┌────────────────┐│ │     ┌───────────────────────────────────────────────┐</w:t>
      </w:r>
    </w:p>
    <w:p w:rsidR="00452847" w:rsidRDefault="00452847">
      <w:pPr>
        <w:pStyle w:val="ConsPlusNonformat"/>
        <w:jc w:val="both"/>
      </w:pPr>
      <w:r>
        <w:t>│ Лесные ресурсы ││ │     │      Лесной фонд составляет 18,7 тыс. га      │</w:t>
      </w:r>
    </w:p>
    <w:p w:rsidR="00452847" w:rsidRDefault="00452847">
      <w:pPr>
        <w:pStyle w:val="ConsPlusNonformat"/>
        <w:jc w:val="both"/>
      </w:pPr>
      <w:r>
        <w:t>└────────────────┘└─┘     └───────────────────────────────────────────────┘</w:t>
      </w: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452847" w:rsidRDefault="00452847">
      <w:pPr>
        <w:pStyle w:val="ConsPlusNormal"/>
        <w:jc w:val="both"/>
      </w:pPr>
    </w:p>
    <w:p w:rsidR="00452847" w:rsidRDefault="00452847">
      <w:pPr>
        <w:pStyle w:val="ConsPlusNormal"/>
        <w:jc w:val="both"/>
      </w:pPr>
    </w:p>
    <w:p w:rsidR="00452847" w:rsidRPr="006917D4" w:rsidRDefault="00452847">
      <w:pPr>
        <w:pStyle w:val="ConsPlusNormal"/>
        <w:jc w:val="right"/>
        <w:outlineLvl w:val="1"/>
        <w:rPr>
          <w:rFonts w:ascii="Times New Roman" w:hAnsi="Times New Roman" w:cs="Times New Roman"/>
          <w:sz w:val="28"/>
          <w:szCs w:val="28"/>
        </w:rPr>
      </w:pPr>
      <w:r w:rsidRPr="006917D4">
        <w:rPr>
          <w:rFonts w:ascii="Times New Roman" w:hAnsi="Times New Roman" w:cs="Times New Roman"/>
          <w:sz w:val="28"/>
          <w:szCs w:val="28"/>
        </w:rPr>
        <w:lastRenderedPageBreak/>
        <w:t>Приложение N 6</w:t>
      </w:r>
    </w:p>
    <w:p w:rsidR="00452847" w:rsidRPr="006917D4" w:rsidRDefault="00452847">
      <w:pPr>
        <w:pStyle w:val="ConsPlusNormal"/>
        <w:jc w:val="both"/>
        <w:rPr>
          <w:rFonts w:ascii="Times New Roman" w:hAnsi="Times New Roman" w:cs="Times New Roman"/>
          <w:sz w:val="28"/>
          <w:szCs w:val="28"/>
        </w:rPr>
      </w:pPr>
    </w:p>
    <w:p w:rsidR="00452847" w:rsidRPr="006917D4" w:rsidRDefault="00452847">
      <w:pPr>
        <w:pStyle w:val="ConsPlusTitle"/>
        <w:jc w:val="center"/>
        <w:rPr>
          <w:rFonts w:ascii="Times New Roman" w:hAnsi="Times New Roman" w:cs="Times New Roman"/>
          <w:sz w:val="28"/>
          <w:szCs w:val="28"/>
        </w:rPr>
      </w:pPr>
      <w:bookmarkStart w:id="6" w:name="P3001"/>
      <w:bookmarkEnd w:id="6"/>
      <w:r w:rsidRPr="006917D4">
        <w:rPr>
          <w:rFonts w:ascii="Times New Roman" w:hAnsi="Times New Roman" w:cs="Times New Roman"/>
          <w:sz w:val="28"/>
          <w:szCs w:val="28"/>
        </w:rPr>
        <w:t>ПЕРЕЧЕНЬ</w:t>
      </w: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НЕИСПОЛЬЗУЕМЫХ ПОМЕЩЕНИЙ, РАСПОЛОЖЕННЫХ НА ТЕРРИТОРИИ</w:t>
      </w: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ГРЯЗИНСКОГО МУНИЦИПАЛЬНОГО РАЙОНА</w:t>
      </w:r>
    </w:p>
    <w:p w:rsidR="00452847" w:rsidRPr="006917D4"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52847" w:rsidRPr="006917D4">
        <w:tc>
          <w:tcPr>
            <w:tcW w:w="60" w:type="dxa"/>
            <w:tcBorders>
              <w:top w:val="nil"/>
              <w:left w:val="nil"/>
              <w:bottom w:val="nil"/>
              <w:right w:val="nil"/>
            </w:tcBorders>
            <w:shd w:val="clear" w:color="auto" w:fill="CED3F1"/>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Список изменяющих документов</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 xml:space="preserve">(в ред. </w:t>
            </w:r>
            <w:hyperlink r:id="rId75">
              <w:r w:rsidRPr="006917D4">
                <w:rPr>
                  <w:rFonts w:ascii="Times New Roman" w:hAnsi="Times New Roman" w:cs="Times New Roman"/>
                  <w:color w:val="0000FF"/>
                  <w:sz w:val="28"/>
                  <w:szCs w:val="28"/>
                </w:rPr>
                <w:t>решения</w:t>
              </w:r>
            </w:hyperlink>
            <w:r w:rsidRPr="006917D4">
              <w:rPr>
                <w:rFonts w:ascii="Times New Roman" w:hAnsi="Times New Roman" w:cs="Times New Roman"/>
                <w:color w:val="392C69"/>
                <w:sz w:val="28"/>
                <w:szCs w:val="28"/>
              </w:rPr>
              <w:t xml:space="preserve"> Совета депутатов Грязинского муниципального</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района Липецкой обл. от 19.12.2017 N 171)</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r>
    </w:tbl>
    <w:p w:rsidR="00452847" w:rsidRDefault="0045284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4"/>
        <w:gridCol w:w="2665"/>
        <w:gridCol w:w="2665"/>
        <w:gridCol w:w="1134"/>
        <w:gridCol w:w="1984"/>
      </w:tblGrid>
      <w:tr w:rsidR="00452847">
        <w:tc>
          <w:tcPr>
            <w:tcW w:w="594" w:type="dxa"/>
          </w:tcPr>
          <w:p w:rsidR="00452847" w:rsidRDefault="00452847">
            <w:pPr>
              <w:pStyle w:val="ConsPlusNormal"/>
              <w:jc w:val="center"/>
            </w:pPr>
            <w:r>
              <w:t>N п/п</w:t>
            </w:r>
          </w:p>
        </w:tc>
        <w:tc>
          <w:tcPr>
            <w:tcW w:w="2665" w:type="dxa"/>
          </w:tcPr>
          <w:p w:rsidR="00452847" w:rsidRDefault="00452847">
            <w:pPr>
              <w:pStyle w:val="ConsPlusNormal"/>
              <w:jc w:val="center"/>
            </w:pPr>
            <w:r>
              <w:t>Наименование помещения</w:t>
            </w:r>
          </w:p>
        </w:tc>
        <w:tc>
          <w:tcPr>
            <w:tcW w:w="2665" w:type="dxa"/>
          </w:tcPr>
          <w:p w:rsidR="00452847" w:rsidRDefault="00452847">
            <w:pPr>
              <w:pStyle w:val="ConsPlusNormal"/>
              <w:jc w:val="center"/>
            </w:pPr>
            <w:r>
              <w:t>Тип помещения</w:t>
            </w:r>
          </w:p>
        </w:tc>
        <w:tc>
          <w:tcPr>
            <w:tcW w:w="1134" w:type="dxa"/>
          </w:tcPr>
          <w:p w:rsidR="00452847" w:rsidRDefault="00452847">
            <w:pPr>
              <w:pStyle w:val="ConsPlusNormal"/>
              <w:jc w:val="center"/>
            </w:pPr>
            <w:r>
              <w:t>Общая площадь</w:t>
            </w:r>
          </w:p>
        </w:tc>
        <w:tc>
          <w:tcPr>
            <w:tcW w:w="1984" w:type="dxa"/>
          </w:tcPr>
          <w:p w:rsidR="00452847" w:rsidRDefault="00452847">
            <w:pPr>
              <w:pStyle w:val="ConsPlusNormal"/>
              <w:jc w:val="center"/>
            </w:pPr>
            <w:r>
              <w:t>Собственность</w:t>
            </w:r>
          </w:p>
        </w:tc>
      </w:tr>
      <w:tr w:rsidR="00452847">
        <w:tc>
          <w:tcPr>
            <w:tcW w:w="594" w:type="dxa"/>
          </w:tcPr>
          <w:p w:rsidR="00452847" w:rsidRDefault="00452847">
            <w:pPr>
              <w:pStyle w:val="ConsPlusNormal"/>
              <w:jc w:val="center"/>
            </w:pPr>
            <w:r>
              <w:t>1.</w:t>
            </w:r>
          </w:p>
        </w:tc>
        <w:tc>
          <w:tcPr>
            <w:tcW w:w="2665" w:type="dxa"/>
          </w:tcPr>
          <w:p w:rsidR="00452847" w:rsidRDefault="00452847">
            <w:pPr>
              <w:pStyle w:val="ConsPlusNormal"/>
            </w:pPr>
            <w:r>
              <w:t>Нежилое помещение N 1</w:t>
            </w:r>
          </w:p>
        </w:tc>
        <w:tc>
          <w:tcPr>
            <w:tcW w:w="2665" w:type="dxa"/>
          </w:tcPr>
          <w:p w:rsidR="00452847" w:rsidRDefault="00452847">
            <w:pPr>
              <w:pStyle w:val="ConsPlusNormal"/>
            </w:pPr>
            <w:r>
              <w:t>производственное</w:t>
            </w:r>
          </w:p>
        </w:tc>
        <w:tc>
          <w:tcPr>
            <w:tcW w:w="1134" w:type="dxa"/>
          </w:tcPr>
          <w:p w:rsidR="00452847" w:rsidRDefault="00452847">
            <w:pPr>
              <w:pStyle w:val="ConsPlusNormal"/>
              <w:jc w:val="center"/>
            </w:pPr>
            <w:r>
              <w:t>56,3</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2.</w:t>
            </w:r>
          </w:p>
        </w:tc>
        <w:tc>
          <w:tcPr>
            <w:tcW w:w="2665" w:type="dxa"/>
          </w:tcPr>
          <w:p w:rsidR="00452847" w:rsidRDefault="00452847">
            <w:pPr>
              <w:pStyle w:val="ConsPlusNormal"/>
            </w:pPr>
            <w:r>
              <w:t>Нежилое помещение N 2</w:t>
            </w:r>
          </w:p>
        </w:tc>
        <w:tc>
          <w:tcPr>
            <w:tcW w:w="2665" w:type="dxa"/>
          </w:tcPr>
          <w:p w:rsidR="00452847" w:rsidRDefault="00452847">
            <w:pPr>
              <w:pStyle w:val="ConsPlusNormal"/>
            </w:pPr>
            <w:r>
              <w:t>производственное</w:t>
            </w:r>
          </w:p>
        </w:tc>
        <w:tc>
          <w:tcPr>
            <w:tcW w:w="1134" w:type="dxa"/>
          </w:tcPr>
          <w:p w:rsidR="00452847" w:rsidRDefault="00452847">
            <w:pPr>
              <w:pStyle w:val="ConsPlusNormal"/>
              <w:jc w:val="center"/>
            </w:pPr>
            <w:r>
              <w:t>32,7</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3.</w:t>
            </w:r>
          </w:p>
        </w:tc>
        <w:tc>
          <w:tcPr>
            <w:tcW w:w="2665" w:type="dxa"/>
          </w:tcPr>
          <w:p w:rsidR="00452847" w:rsidRDefault="00452847">
            <w:pPr>
              <w:pStyle w:val="ConsPlusNormal"/>
            </w:pPr>
            <w:r>
              <w:t>Здание Коробовской участковой больницы</w:t>
            </w:r>
          </w:p>
        </w:tc>
        <w:tc>
          <w:tcPr>
            <w:tcW w:w="2665" w:type="dxa"/>
          </w:tcPr>
          <w:p w:rsidR="00452847" w:rsidRDefault="00452847">
            <w:pPr>
              <w:pStyle w:val="ConsPlusNormal"/>
            </w:pPr>
            <w:r>
              <w:t>административное</w:t>
            </w:r>
          </w:p>
        </w:tc>
        <w:tc>
          <w:tcPr>
            <w:tcW w:w="1134" w:type="dxa"/>
          </w:tcPr>
          <w:p w:rsidR="00452847" w:rsidRDefault="00452847">
            <w:pPr>
              <w:pStyle w:val="ConsPlusNormal"/>
              <w:jc w:val="center"/>
            </w:pPr>
            <w:r>
              <w:t>1127,9</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4.</w:t>
            </w:r>
          </w:p>
        </w:tc>
        <w:tc>
          <w:tcPr>
            <w:tcW w:w="2665" w:type="dxa"/>
          </w:tcPr>
          <w:p w:rsidR="00452847" w:rsidRDefault="00452847">
            <w:pPr>
              <w:pStyle w:val="ConsPlusNormal"/>
            </w:pPr>
            <w:r>
              <w:t>Здание котельной</w:t>
            </w:r>
          </w:p>
        </w:tc>
        <w:tc>
          <w:tcPr>
            <w:tcW w:w="2665" w:type="dxa"/>
          </w:tcPr>
          <w:p w:rsidR="00452847" w:rsidRDefault="00452847">
            <w:pPr>
              <w:pStyle w:val="ConsPlusNormal"/>
            </w:pPr>
            <w:r>
              <w:t>производственное</w:t>
            </w:r>
          </w:p>
        </w:tc>
        <w:tc>
          <w:tcPr>
            <w:tcW w:w="1134" w:type="dxa"/>
          </w:tcPr>
          <w:p w:rsidR="00452847" w:rsidRDefault="00452847">
            <w:pPr>
              <w:pStyle w:val="ConsPlusNormal"/>
              <w:jc w:val="center"/>
            </w:pPr>
            <w:r>
              <w:t>214,1</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5.</w:t>
            </w:r>
          </w:p>
        </w:tc>
        <w:tc>
          <w:tcPr>
            <w:tcW w:w="2665" w:type="dxa"/>
          </w:tcPr>
          <w:p w:rsidR="00452847" w:rsidRDefault="00452847">
            <w:pPr>
              <w:pStyle w:val="ConsPlusNormal"/>
            </w:pPr>
            <w:r>
              <w:t>Здание конторы</w:t>
            </w:r>
          </w:p>
        </w:tc>
        <w:tc>
          <w:tcPr>
            <w:tcW w:w="2665" w:type="dxa"/>
          </w:tcPr>
          <w:p w:rsidR="00452847" w:rsidRDefault="00452847">
            <w:pPr>
              <w:pStyle w:val="ConsPlusNormal"/>
            </w:pPr>
            <w:r>
              <w:t>административное</w:t>
            </w:r>
          </w:p>
        </w:tc>
        <w:tc>
          <w:tcPr>
            <w:tcW w:w="1134" w:type="dxa"/>
          </w:tcPr>
          <w:p w:rsidR="00452847" w:rsidRDefault="00452847">
            <w:pPr>
              <w:pStyle w:val="ConsPlusNormal"/>
              <w:jc w:val="center"/>
            </w:pPr>
            <w:r>
              <w:t>316,4</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6.</w:t>
            </w:r>
          </w:p>
        </w:tc>
        <w:tc>
          <w:tcPr>
            <w:tcW w:w="2665" w:type="dxa"/>
          </w:tcPr>
          <w:p w:rsidR="00452847" w:rsidRDefault="00452847">
            <w:pPr>
              <w:pStyle w:val="ConsPlusNormal"/>
            </w:pPr>
            <w:r>
              <w:t>Здание котельной</w:t>
            </w:r>
          </w:p>
        </w:tc>
        <w:tc>
          <w:tcPr>
            <w:tcW w:w="2665" w:type="dxa"/>
          </w:tcPr>
          <w:p w:rsidR="00452847" w:rsidRDefault="00452847">
            <w:pPr>
              <w:pStyle w:val="ConsPlusNormal"/>
            </w:pPr>
            <w:r>
              <w:t>производственное</w:t>
            </w:r>
          </w:p>
        </w:tc>
        <w:tc>
          <w:tcPr>
            <w:tcW w:w="1134" w:type="dxa"/>
          </w:tcPr>
          <w:p w:rsidR="00452847" w:rsidRDefault="00452847">
            <w:pPr>
              <w:pStyle w:val="ConsPlusNormal"/>
              <w:jc w:val="center"/>
            </w:pPr>
            <w:r>
              <w:t>26,5</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7.</w:t>
            </w:r>
          </w:p>
        </w:tc>
        <w:tc>
          <w:tcPr>
            <w:tcW w:w="2665" w:type="dxa"/>
          </w:tcPr>
          <w:p w:rsidR="00452847" w:rsidRDefault="00452847">
            <w:pPr>
              <w:pStyle w:val="ConsPlusNormal"/>
            </w:pPr>
            <w:r>
              <w:t>Здание свинарника</w:t>
            </w:r>
          </w:p>
        </w:tc>
        <w:tc>
          <w:tcPr>
            <w:tcW w:w="2665" w:type="dxa"/>
          </w:tcPr>
          <w:p w:rsidR="00452847" w:rsidRDefault="00452847">
            <w:pPr>
              <w:pStyle w:val="ConsPlusNormal"/>
            </w:pPr>
            <w:r>
              <w:t>сельскохозяйственное</w:t>
            </w:r>
          </w:p>
        </w:tc>
        <w:tc>
          <w:tcPr>
            <w:tcW w:w="1134" w:type="dxa"/>
          </w:tcPr>
          <w:p w:rsidR="00452847" w:rsidRDefault="00452847">
            <w:pPr>
              <w:pStyle w:val="ConsPlusNormal"/>
              <w:jc w:val="center"/>
            </w:pPr>
            <w:r>
              <w:t>90</w:t>
            </w:r>
          </w:p>
        </w:tc>
        <w:tc>
          <w:tcPr>
            <w:tcW w:w="1984" w:type="dxa"/>
          </w:tcPr>
          <w:p w:rsidR="00452847" w:rsidRDefault="00452847">
            <w:pPr>
              <w:pStyle w:val="ConsPlusNormal"/>
            </w:pPr>
            <w:r>
              <w:t>частная</w:t>
            </w:r>
          </w:p>
        </w:tc>
      </w:tr>
      <w:tr w:rsidR="00452847">
        <w:tc>
          <w:tcPr>
            <w:tcW w:w="594" w:type="dxa"/>
          </w:tcPr>
          <w:p w:rsidR="00452847" w:rsidRDefault="00452847">
            <w:pPr>
              <w:pStyle w:val="ConsPlusNormal"/>
              <w:jc w:val="center"/>
            </w:pPr>
            <w:r>
              <w:t>8.</w:t>
            </w:r>
          </w:p>
        </w:tc>
        <w:tc>
          <w:tcPr>
            <w:tcW w:w="2665" w:type="dxa"/>
          </w:tcPr>
          <w:p w:rsidR="00452847" w:rsidRDefault="00452847">
            <w:pPr>
              <w:pStyle w:val="ConsPlusNormal"/>
            </w:pPr>
            <w:r>
              <w:t>Здание конторы</w:t>
            </w:r>
          </w:p>
        </w:tc>
        <w:tc>
          <w:tcPr>
            <w:tcW w:w="2665" w:type="dxa"/>
          </w:tcPr>
          <w:p w:rsidR="00452847" w:rsidRDefault="00452847">
            <w:pPr>
              <w:pStyle w:val="ConsPlusNormal"/>
            </w:pPr>
            <w:r>
              <w:t>административное</w:t>
            </w:r>
          </w:p>
        </w:tc>
        <w:tc>
          <w:tcPr>
            <w:tcW w:w="1134" w:type="dxa"/>
          </w:tcPr>
          <w:p w:rsidR="00452847" w:rsidRDefault="00452847">
            <w:pPr>
              <w:pStyle w:val="ConsPlusNormal"/>
              <w:jc w:val="center"/>
            </w:pPr>
            <w:r>
              <w:t>100</w:t>
            </w:r>
          </w:p>
        </w:tc>
        <w:tc>
          <w:tcPr>
            <w:tcW w:w="1984" w:type="dxa"/>
          </w:tcPr>
          <w:p w:rsidR="00452847" w:rsidRDefault="00452847">
            <w:pPr>
              <w:pStyle w:val="ConsPlusNormal"/>
            </w:pPr>
            <w:r>
              <w:t>частная</w:t>
            </w:r>
          </w:p>
        </w:tc>
      </w:tr>
      <w:tr w:rsidR="00452847">
        <w:tc>
          <w:tcPr>
            <w:tcW w:w="594" w:type="dxa"/>
          </w:tcPr>
          <w:p w:rsidR="00452847" w:rsidRDefault="00452847">
            <w:pPr>
              <w:pStyle w:val="ConsPlusNormal"/>
              <w:jc w:val="center"/>
            </w:pPr>
            <w:r>
              <w:t>9.</w:t>
            </w:r>
          </w:p>
        </w:tc>
        <w:tc>
          <w:tcPr>
            <w:tcW w:w="2665" w:type="dxa"/>
          </w:tcPr>
          <w:p w:rsidR="00452847" w:rsidRDefault="00452847">
            <w:pPr>
              <w:pStyle w:val="ConsPlusNormal"/>
            </w:pPr>
            <w:r>
              <w:t>Здание клуба</w:t>
            </w:r>
          </w:p>
        </w:tc>
        <w:tc>
          <w:tcPr>
            <w:tcW w:w="2665" w:type="dxa"/>
          </w:tcPr>
          <w:p w:rsidR="00452847" w:rsidRDefault="00452847">
            <w:pPr>
              <w:pStyle w:val="ConsPlusNormal"/>
            </w:pPr>
            <w:r>
              <w:t>административное</w:t>
            </w:r>
          </w:p>
        </w:tc>
        <w:tc>
          <w:tcPr>
            <w:tcW w:w="1134" w:type="dxa"/>
          </w:tcPr>
          <w:p w:rsidR="00452847" w:rsidRDefault="00452847">
            <w:pPr>
              <w:pStyle w:val="ConsPlusNormal"/>
              <w:jc w:val="center"/>
            </w:pPr>
            <w:r>
              <w:t>200</w:t>
            </w:r>
          </w:p>
        </w:tc>
        <w:tc>
          <w:tcPr>
            <w:tcW w:w="1984" w:type="dxa"/>
          </w:tcPr>
          <w:p w:rsidR="00452847" w:rsidRDefault="00452847">
            <w:pPr>
              <w:pStyle w:val="ConsPlusNormal"/>
            </w:pPr>
            <w:r>
              <w:t>муниципальная</w:t>
            </w:r>
          </w:p>
        </w:tc>
      </w:tr>
      <w:tr w:rsidR="00452847">
        <w:tc>
          <w:tcPr>
            <w:tcW w:w="594" w:type="dxa"/>
          </w:tcPr>
          <w:p w:rsidR="00452847" w:rsidRDefault="00452847">
            <w:pPr>
              <w:pStyle w:val="ConsPlusNormal"/>
              <w:jc w:val="center"/>
            </w:pPr>
            <w:r>
              <w:t>10.</w:t>
            </w:r>
          </w:p>
        </w:tc>
        <w:tc>
          <w:tcPr>
            <w:tcW w:w="2665" w:type="dxa"/>
          </w:tcPr>
          <w:p w:rsidR="00452847" w:rsidRDefault="00452847">
            <w:pPr>
              <w:pStyle w:val="ConsPlusNormal"/>
            </w:pPr>
            <w:r>
              <w:t>Здание школы</w:t>
            </w:r>
          </w:p>
        </w:tc>
        <w:tc>
          <w:tcPr>
            <w:tcW w:w="2665" w:type="dxa"/>
          </w:tcPr>
          <w:p w:rsidR="00452847" w:rsidRDefault="00452847">
            <w:pPr>
              <w:pStyle w:val="ConsPlusNormal"/>
            </w:pPr>
            <w:r>
              <w:t>административное</w:t>
            </w:r>
          </w:p>
        </w:tc>
        <w:tc>
          <w:tcPr>
            <w:tcW w:w="1134" w:type="dxa"/>
          </w:tcPr>
          <w:p w:rsidR="00452847" w:rsidRDefault="00452847">
            <w:pPr>
              <w:pStyle w:val="ConsPlusNormal"/>
              <w:jc w:val="center"/>
            </w:pPr>
            <w:r>
              <w:t>890</w:t>
            </w:r>
          </w:p>
        </w:tc>
        <w:tc>
          <w:tcPr>
            <w:tcW w:w="1984" w:type="dxa"/>
          </w:tcPr>
          <w:p w:rsidR="00452847" w:rsidRDefault="00452847">
            <w:pPr>
              <w:pStyle w:val="ConsPlusNormal"/>
            </w:pPr>
            <w:r>
              <w:t>муниципальная</w:t>
            </w:r>
          </w:p>
        </w:tc>
      </w:tr>
    </w:tbl>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452847" w:rsidRPr="006917D4" w:rsidRDefault="00452847">
      <w:pPr>
        <w:pStyle w:val="ConsPlusNormal"/>
        <w:jc w:val="right"/>
        <w:outlineLvl w:val="1"/>
        <w:rPr>
          <w:rFonts w:ascii="Times New Roman" w:hAnsi="Times New Roman" w:cs="Times New Roman"/>
          <w:sz w:val="28"/>
          <w:szCs w:val="28"/>
        </w:rPr>
      </w:pPr>
      <w:r w:rsidRPr="006917D4">
        <w:rPr>
          <w:rFonts w:ascii="Times New Roman" w:hAnsi="Times New Roman" w:cs="Times New Roman"/>
          <w:sz w:val="28"/>
          <w:szCs w:val="28"/>
        </w:rPr>
        <w:lastRenderedPageBreak/>
        <w:t>Приложение 7</w:t>
      </w:r>
    </w:p>
    <w:p w:rsidR="00452847" w:rsidRPr="006917D4" w:rsidRDefault="00452847">
      <w:pPr>
        <w:pStyle w:val="ConsPlusNormal"/>
        <w:jc w:val="both"/>
        <w:rPr>
          <w:rFonts w:ascii="Times New Roman" w:hAnsi="Times New Roman" w:cs="Times New Roman"/>
          <w:sz w:val="28"/>
          <w:szCs w:val="28"/>
        </w:rPr>
      </w:pP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РАЗВИТИЕ</w:t>
      </w: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ПРОИЗВОДСТВЕННЫХ СИЛ ГРЯЗИНСКОГО РАЙОНА</w:t>
      </w:r>
    </w:p>
    <w:p w:rsidR="00452847" w:rsidRPr="006917D4"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52847" w:rsidRPr="006917D4">
        <w:tc>
          <w:tcPr>
            <w:tcW w:w="60" w:type="dxa"/>
            <w:tcBorders>
              <w:top w:val="nil"/>
              <w:left w:val="nil"/>
              <w:bottom w:val="nil"/>
              <w:right w:val="nil"/>
            </w:tcBorders>
            <w:shd w:val="clear" w:color="auto" w:fill="CED3F1"/>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Список изменяющих документов</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 xml:space="preserve">(введено </w:t>
            </w:r>
            <w:hyperlink r:id="rId76">
              <w:r w:rsidRPr="006917D4">
                <w:rPr>
                  <w:rFonts w:ascii="Times New Roman" w:hAnsi="Times New Roman" w:cs="Times New Roman"/>
                  <w:color w:val="0000FF"/>
                  <w:sz w:val="28"/>
                  <w:szCs w:val="28"/>
                </w:rPr>
                <w:t>решением</w:t>
              </w:r>
            </w:hyperlink>
            <w:r w:rsidRPr="006917D4">
              <w:rPr>
                <w:rFonts w:ascii="Times New Roman" w:hAnsi="Times New Roman" w:cs="Times New Roman"/>
                <w:color w:val="392C69"/>
                <w:sz w:val="28"/>
                <w:szCs w:val="28"/>
              </w:rPr>
              <w:t xml:space="preserve"> Совета депутатов Грязинского муниципального района</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Липецкой обл. от 23.03.2010 N 193)</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r>
    </w:tbl>
    <w:p w:rsidR="00452847" w:rsidRDefault="00452847">
      <w:pPr>
        <w:pStyle w:val="ConsPlusNormal"/>
        <w:jc w:val="both"/>
      </w:pPr>
    </w:p>
    <w:p w:rsidR="006917D4" w:rsidRDefault="006917D4">
      <w:pPr>
        <w:pStyle w:val="ConsPlusNormal"/>
        <w:jc w:val="center"/>
      </w:pPr>
      <w:r>
        <w:rPr>
          <w:noProof/>
        </w:rPr>
        <w:drawing>
          <wp:inline distT="0" distB="0" distL="0" distR="0">
            <wp:extent cx="5931535" cy="44811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1535" cy="4481195"/>
                    </a:xfrm>
                    <a:prstGeom prst="rect">
                      <a:avLst/>
                    </a:prstGeom>
                    <a:noFill/>
                    <a:ln>
                      <a:noFill/>
                    </a:ln>
                  </pic:spPr>
                </pic:pic>
              </a:graphicData>
            </a:graphic>
          </wp:inline>
        </w:drawing>
      </w:r>
    </w:p>
    <w:p w:rsidR="00452847" w:rsidRDefault="00452847">
      <w:pPr>
        <w:pStyle w:val="ConsPlusNormal"/>
        <w:jc w:val="both"/>
      </w:pPr>
    </w:p>
    <w:p w:rsidR="00452847" w:rsidRDefault="00452847">
      <w:pPr>
        <w:pStyle w:val="ConsPlusNormal"/>
        <w:jc w:val="both"/>
      </w:pPr>
    </w:p>
    <w:p w:rsidR="00452847" w:rsidRDefault="00452847">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6917D4" w:rsidRDefault="006917D4">
      <w:pPr>
        <w:pStyle w:val="ConsPlusNormal"/>
        <w:jc w:val="both"/>
      </w:pPr>
    </w:p>
    <w:p w:rsidR="00452847" w:rsidRDefault="00452847">
      <w:pPr>
        <w:pStyle w:val="ConsPlusNormal"/>
        <w:jc w:val="both"/>
      </w:pPr>
    </w:p>
    <w:p w:rsidR="00452847" w:rsidRDefault="00452847">
      <w:pPr>
        <w:pStyle w:val="ConsPlusNormal"/>
        <w:jc w:val="both"/>
      </w:pPr>
    </w:p>
    <w:p w:rsidR="00452847" w:rsidRPr="006917D4" w:rsidRDefault="00452847">
      <w:pPr>
        <w:pStyle w:val="ConsPlusNormal"/>
        <w:jc w:val="right"/>
        <w:outlineLvl w:val="1"/>
        <w:rPr>
          <w:rFonts w:ascii="Times New Roman" w:hAnsi="Times New Roman" w:cs="Times New Roman"/>
          <w:sz w:val="28"/>
          <w:szCs w:val="28"/>
        </w:rPr>
      </w:pPr>
      <w:r w:rsidRPr="006917D4">
        <w:rPr>
          <w:rFonts w:ascii="Times New Roman" w:hAnsi="Times New Roman" w:cs="Times New Roman"/>
          <w:sz w:val="28"/>
          <w:szCs w:val="28"/>
        </w:rPr>
        <w:lastRenderedPageBreak/>
        <w:t>Приложение 8</w:t>
      </w:r>
    </w:p>
    <w:p w:rsidR="00452847" w:rsidRPr="006917D4" w:rsidRDefault="00452847">
      <w:pPr>
        <w:pStyle w:val="ConsPlusNormal"/>
        <w:jc w:val="both"/>
        <w:rPr>
          <w:rFonts w:ascii="Times New Roman" w:hAnsi="Times New Roman" w:cs="Times New Roman"/>
          <w:sz w:val="28"/>
          <w:szCs w:val="28"/>
        </w:rPr>
      </w:pP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ПОТЕНЦИАЛ</w:t>
      </w:r>
    </w:p>
    <w:p w:rsidR="00452847" w:rsidRPr="006917D4" w:rsidRDefault="00452847">
      <w:pPr>
        <w:pStyle w:val="ConsPlusTitle"/>
        <w:jc w:val="center"/>
        <w:rPr>
          <w:rFonts w:ascii="Times New Roman" w:hAnsi="Times New Roman" w:cs="Times New Roman"/>
          <w:sz w:val="28"/>
          <w:szCs w:val="28"/>
        </w:rPr>
      </w:pPr>
      <w:r w:rsidRPr="006917D4">
        <w:rPr>
          <w:rFonts w:ascii="Times New Roman" w:hAnsi="Times New Roman" w:cs="Times New Roman"/>
          <w:sz w:val="28"/>
          <w:szCs w:val="28"/>
        </w:rPr>
        <w:t>ГРЯЗИНСКОГО РАЙОНА</w:t>
      </w:r>
    </w:p>
    <w:p w:rsidR="00452847" w:rsidRPr="006917D4" w:rsidRDefault="00452847">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52847" w:rsidRPr="006917D4">
        <w:tc>
          <w:tcPr>
            <w:tcW w:w="60" w:type="dxa"/>
            <w:tcBorders>
              <w:top w:val="nil"/>
              <w:left w:val="nil"/>
              <w:bottom w:val="nil"/>
              <w:right w:val="nil"/>
            </w:tcBorders>
            <w:shd w:val="clear" w:color="auto" w:fill="CED3F1"/>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Список изменяющих документов</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 xml:space="preserve">(введено </w:t>
            </w:r>
            <w:hyperlink r:id="rId78">
              <w:r w:rsidRPr="006917D4">
                <w:rPr>
                  <w:rFonts w:ascii="Times New Roman" w:hAnsi="Times New Roman" w:cs="Times New Roman"/>
                  <w:color w:val="0000FF"/>
                  <w:sz w:val="28"/>
                  <w:szCs w:val="28"/>
                </w:rPr>
                <w:t>решением</w:t>
              </w:r>
            </w:hyperlink>
            <w:r w:rsidRPr="006917D4">
              <w:rPr>
                <w:rFonts w:ascii="Times New Roman" w:hAnsi="Times New Roman" w:cs="Times New Roman"/>
                <w:color w:val="392C69"/>
                <w:sz w:val="28"/>
                <w:szCs w:val="28"/>
              </w:rPr>
              <w:t xml:space="preserve"> Совета депутатов Грязинского муниципального района</w:t>
            </w:r>
          </w:p>
          <w:p w:rsidR="00452847" w:rsidRPr="006917D4" w:rsidRDefault="00452847">
            <w:pPr>
              <w:pStyle w:val="ConsPlusNormal"/>
              <w:jc w:val="center"/>
              <w:rPr>
                <w:rFonts w:ascii="Times New Roman" w:hAnsi="Times New Roman" w:cs="Times New Roman"/>
                <w:sz w:val="28"/>
                <w:szCs w:val="28"/>
              </w:rPr>
            </w:pPr>
            <w:r w:rsidRPr="006917D4">
              <w:rPr>
                <w:rFonts w:ascii="Times New Roman" w:hAnsi="Times New Roman" w:cs="Times New Roman"/>
                <w:color w:val="392C69"/>
                <w:sz w:val="28"/>
                <w:szCs w:val="28"/>
              </w:rPr>
              <w:t>Липецкой обл. от 23.03.2010 N 193)</w:t>
            </w:r>
          </w:p>
        </w:tc>
        <w:tc>
          <w:tcPr>
            <w:tcW w:w="113" w:type="dxa"/>
            <w:tcBorders>
              <w:top w:val="nil"/>
              <w:left w:val="nil"/>
              <w:bottom w:val="nil"/>
              <w:right w:val="nil"/>
            </w:tcBorders>
            <w:shd w:val="clear" w:color="auto" w:fill="F4F3F8"/>
            <w:tcMar>
              <w:top w:w="0" w:type="dxa"/>
              <w:left w:w="0" w:type="dxa"/>
              <w:bottom w:w="0" w:type="dxa"/>
              <w:right w:w="0" w:type="dxa"/>
            </w:tcMar>
          </w:tcPr>
          <w:p w:rsidR="00452847" w:rsidRPr="006917D4" w:rsidRDefault="00452847">
            <w:pPr>
              <w:pStyle w:val="ConsPlusNormal"/>
              <w:rPr>
                <w:rFonts w:ascii="Times New Roman" w:hAnsi="Times New Roman" w:cs="Times New Roman"/>
                <w:sz w:val="28"/>
                <w:szCs w:val="28"/>
              </w:rPr>
            </w:pPr>
          </w:p>
        </w:tc>
      </w:tr>
    </w:tbl>
    <w:p w:rsidR="00452847" w:rsidRDefault="00452847">
      <w:pPr>
        <w:pStyle w:val="ConsPlusNormal"/>
        <w:jc w:val="both"/>
      </w:pPr>
    </w:p>
    <w:p w:rsidR="00452847" w:rsidRDefault="00452847">
      <w:pPr>
        <w:pStyle w:val="ConsPlusNormal"/>
        <w:jc w:val="both"/>
      </w:pPr>
    </w:p>
    <w:p w:rsidR="006917D4" w:rsidRDefault="006917D4">
      <w:pPr>
        <w:pStyle w:val="ConsPlusNormal"/>
        <w:jc w:val="both"/>
      </w:pPr>
      <w:r>
        <w:rPr>
          <w:noProof/>
        </w:rPr>
        <w:drawing>
          <wp:inline distT="0" distB="0" distL="0" distR="0">
            <wp:extent cx="5931535" cy="4448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inline>
        </w:drawing>
      </w:r>
    </w:p>
    <w:p w:rsidR="00452847" w:rsidRDefault="00452847">
      <w:pPr>
        <w:pStyle w:val="ConsPlusNormal"/>
        <w:pBdr>
          <w:bottom w:val="single" w:sz="6" w:space="0" w:color="auto"/>
        </w:pBdr>
        <w:spacing w:before="100" w:after="100"/>
        <w:jc w:val="both"/>
        <w:rPr>
          <w:sz w:val="2"/>
          <w:szCs w:val="2"/>
        </w:rPr>
      </w:pPr>
    </w:p>
    <w:p w:rsidR="00503231" w:rsidRDefault="00503231"/>
    <w:sectPr w:rsidR="00503231">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47"/>
    <w:rsid w:val="000931E7"/>
    <w:rsid w:val="00185933"/>
    <w:rsid w:val="001B1062"/>
    <w:rsid w:val="001C63B1"/>
    <w:rsid w:val="00223895"/>
    <w:rsid w:val="002A7AFF"/>
    <w:rsid w:val="003616F0"/>
    <w:rsid w:val="00361F8F"/>
    <w:rsid w:val="00452847"/>
    <w:rsid w:val="00503231"/>
    <w:rsid w:val="005468D2"/>
    <w:rsid w:val="00581CB3"/>
    <w:rsid w:val="0061724B"/>
    <w:rsid w:val="00647997"/>
    <w:rsid w:val="006917D4"/>
    <w:rsid w:val="0069633B"/>
    <w:rsid w:val="007814A7"/>
    <w:rsid w:val="008A5356"/>
    <w:rsid w:val="00910F29"/>
    <w:rsid w:val="00951149"/>
    <w:rsid w:val="00A11E84"/>
    <w:rsid w:val="00AA2BE1"/>
    <w:rsid w:val="00B91E14"/>
    <w:rsid w:val="00C63C3A"/>
    <w:rsid w:val="00CB6B33"/>
    <w:rsid w:val="00D942A1"/>
    <w:rsid w:val="00DB3BCA"/>
    <w:rsid w:val="00DB7F34"/>
    <w:rsid w:val="00DC46BD"/>
    <w:rsid w:val="00DE63F3"/>
    <w:rsid w:val="00E21003"/>
    <w:rsid w:val="00ED1406"/>
    <w:rsid w:val="00EF1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3023F-0910-4411-AA1D-2A78D7200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F2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45284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452847"/>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452847"/>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452847"/>
    <w:pPr>
      <w:widowControl w:val="0"/>
      <w:autoSpaceDE w:val="0"/>
      <w:autoSpaceDN w:val="0"/>
      <w:spacing w:after="0" w:line="240" w:lineRule="auto"/>
    </w:pPr>
    <w:rPr>
      <w:rFonts w:ascii="Courier New" w:eastAsiaTheme="minorEastAsia" w:hAnsi="Courier New" w:cs="Courier New"/>
      <w:sz w:val="20"/>
      <w:lang w:eastAsia="ru-RU"/>
    </w:rPr>
  </w:style>
  <w:style w:type="paragraph" w:styleId="a3">
    <w:name w:val="Balloon Text"/>
    <w:basedOn w:val="a"/>
    <w:link w:val="a4"/>
    <w:uiPriority w:val="99"/>
    <w:semiHidden/>
    <w:unhideWhenUsed/>
    <w:rsid w:val="00ED14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40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B1113943C0FB6B19A884EC72C6F61329C678DCFA0B9703F5CE98FCD57A1F67EF0D0EAE5F34343100C35FD7361D2EBE49C52D8F9FD6DD25E14F2CDiFA2G" TargetMode="External"/><Relationship Id="rId18" Type="http://schemas.openxmlformats.org/officeDocument/2006/relationships/hyperlink" Target="consultantplus://offline/ref=DB1113943C0FB6B19A884EC72C6F61329C678DCFAAB5713D5CE98FCD57A1F67EF0D0EAE5F34343100C35FD7561D2EBE49C52D8F9FD6DD25E14F2CDiFA2G" TargetMode="External"/><Relationship Id="rId26" Type="http://schemas.openxmlformats.org/officeDocument/2006/relationships/hyperlink" Target="consultantplus://offline/ref=DB1113943C0FB6B19A884EC72C6F61329C678DCFAAB5713D5CE98FCD57A1F67EF0D0EAE5F34343100C35FD7961D2EBE49C52D8F9FD6DD25E14F2CDiFA2G" TargetMode="External"/><Relationship Id="rId39" Type="http://schemas.openxmlformats.org/officeDocument/2006/relationships/hyperlink" Target="consultantplus://offline/ref=DB1113943C0FB6B19A884EC72C6F61329C678DCFAAB074385AE98FCD57A1F67EF0D0EAE5F34343100C35FD7761D2EBE49C52D8F9FD6DD25E14F2CDiFA2G" TargetMode="External"/><Relationship Id="rId21" Type="http://schemas.openxmlformats.org/officeDocument/2006/relationships/hyperlink" Target="consultantplus://offline/ref=DB1113943C0FB6B19A8850CA3A033D3D9D6BD0C4AAB27D6907B6D49000A8FC29B79FB3A7B74E42110C3EA8202ED3B7A0CF41D8F6FD6FDB42i1A4G" TargetMode="External"/><Relationship Id="rId34" Type="http://schemas.openxmlformats.org/officeDocument/2006/relationships/hyperlink" Target="consultantplus://offline/ref=DB1113943C0FB6B19A884EC72C6F61329C678DCFA0B2723F59E98FCD57A1F67EF0D0EAE5F34343100C35FF7061D2EBE49C52D8F9FD6DD25E14F2CDiFA2G" TargetMode="External"/><Relationship Id="rId42" Type="http://schemas.openxmlformats.org/officeDocument/2006/relationships/hyperlink" Target="consultantplus://offline/ref=DB1113943C0FB6B19A884EC72C6F61329C678DCFAAB074385AE98FCD57A1F67EF0D0EAE5F34343100C35FD7861D2EBE49C52D8F9FD6DD25E14F2CDiFA2G" TargetMode="External"/><Relationship Id="rId47" Type="http://schemas.openxmlformats.org/officeDocument/2006/relationships/image" Target="media/image5.jpeg"/><Relationship Id="rId50" Type="http://schemas.openxmlformats.org/officeDocument/2006/relationships/hyperlink" Target="consultantplus://offline/ref=DB1113943C0FB6B19A884EC72C6F61329C678DCFA1B37F3A52E98FCD57A1F67EF0D0EAE5F34343100C35FC7861D2EBE49C52D8F9FD6DD25E14F2CDiFA2G" TargetMode="External"/><Relationship Id="rId55" Type="http://schemas.openxmlformats.org/officeDocument/2006/relationships/hyperlink" Target="consultantplus://offline/ref=DB1113943C0FB6B19A884EC72C6F61329C678DCFABB5733C50B485C50EADF479FF8FFDE2BA4F42100C34FB7A3ED7FEF5C45FDEE1E364C54216F0iCADG" TargetMode="External"/><Relationship Id="rId63" Type="http://schemas.openxmlformats.org/officeDocument/2006/relationships/hyperlink" Target="consultantplus://offline/ref=DB1113943C0FB6B19A884EC72C6F61329C678DCFAAB074385AE98FCD57A1F67EF0D0EAE5F34343100C35F47361D2EBE49C52D8F9FD6DD25E14F2CDiFA2G" TargetMode="External"/><Relationship Id="rId68" Type="http://schemas.openxmlformats.org/officeDocument/2006/relationships/hyperlink" Target="consultantplus://offline/ref=E03BB92D0D02E6A2E323FBBF780FF182AA3E140F7ABC8961F61FAF465B667F2B7DA7FB2B1A7701C2D7A5E1ADs2j5I" TargetMode="External"/><Relationship Id="rId76" Type="http://schemas.openxmlformats.org/officeDocument/2006/relationships/hyperlink" Target="consultantplus://offline/ref=DB1113943C0FB6B19A884EC72C6F61329C678DCFA0B2723F59E98FCD57A1F67EF0D0EAE5F34343100C37FA7961D2EBE49C52D8F9FD6DD25E14F2CDiFA2G" TargetMode="External"/><Relationship Id="rId7" Type="http://schemas.openxmlformats.org/officeDocument/2006/relationships/hyperlink" Target="consultantplus://offline/ref=DB1113943C0FB6B19A884EC72C6F61329C678DCFAAB074385AE98FCD57A1F67EF0D0EAE5F34343100C35FC7461D2EBE49C52D8F9FD6DD25E14F2CDiFA2G" TargetMode="External"/><Relationship Id="rId71" Type="http://schemas.openxmlformats.org/officeDocument/2006/relationships/hyperlink" Target="consultantplus://offline/ref=E03BB92D0D02E6A2E323E5B26E63AD8DAF324F0B7BB2DC35A719F8190B602A793DF9A27A573C0DC3C0B9E0AD33523835sBjFI" TargetMode="External"/><Relationship Id="rId2" Type="http://schemas.openxmlformats.org/officeDocument/2006/relationships/settings" Target="settings.xml"/><Relationship Id="rId16" Type="http://schemas.openxmlformats.org/officeDocument/2006/relationships/hyperlink" Target="consultantplus://offline/ref=DB1113943C0FB6B19A884EC72C6F61329C678DCFAAB5713D5CE98FCD57A1F67EF0D0EAE5F34343100C35FD7361D2EBE49C52D8F9FD6DD25E14F2CDiFA2G" TargetMode="External"/><Relationship Id="rId29" Type="http://schemas.openxmlformats.org/officeDocument/2006/relationships/hyperlink" Target="consultantplus://offline/ref=DB1113943C0FB6B19A884EC72C6F61329C678DCFAAB5713D5CE98FCD57A1F67EF0D0EAE5F34343100C35FE7061D2EBE49C52D8F9FD6DD25E14F2CDiFA2G" TargetMode="External"/><Relationship Id="rId11" Type="http://schemas.openxmlformats.org/officeDocument/2006/relationships/hyperlink" Target="consultantplus://offline/ref=DB1113943C0FB6B19A884EC72C6F61329C678DCFAAB5713D5CE98FCD57A1F67EF0D0EAE5F34343100C35FD7261D2EBE49C52D8F9FD6DD25E14F2CDiFA2G" TargetMode="External"/><Relationship Id="rId24" Type="http://schemas.openxmlformats.org/officeDocument/2006/relationships/hyperlink" Target="consultantplus://offline/ref=DB1113943C0FB6B19A884EC72C6F61329C678DCFAAB5713D5CE98FCD57A1F67EF0D0EAE5F34343100C35FD7661D2EBE49C52D8F9FD6DD25E14F2CDiFA2G" TargetMode="External"/><Relationship Id="rId32" Type="http://schemas.openxmlformats.org/officeDocument/2006/relationships/hyperlink" Target="consultantplus://offline/ref=DB1113943C0FB6B19A884EC72C6F61329C678DCFAAB5713D5CE98FCD57A1F67EF0D0EAE5F34343100D30FD7961D2EBE49C52D8F9FD6DD25E14F2CDiFA2G" TargetMode="External"/><Relationship Id="rId37" Type="http://schemas.openxmlformats.org/officeDocument/2006/relationships/hyperlink" Target="consultantplus://offline/ref=DB1113943C0FB6B19A884EC72C6F61329C678DCFA0B9703F5CE98FCD57A1F67EF0D0EAE5F34343100C35FD7261D2EBE49C52D8F9FD6DD25E14F2CDiFA2G" TargetMode="External"/><Relationship Id="rId40" Type="http://schemas.openxmlformats.org/officeDocument/2006/relationships/hyperlink" Target="consultantplus://offline/ref=DB1113943C0FB6B19A884EC72C6F61329C678DCFAAB074385AE98FCD57A1F67EF0D0EAE5F34343100C35FD7661D2EBE49C52D8F9FD6DD25E14F2CDiFA2G" TargetMode="External"/><Relationship Id="rId45" Type="http://schemas.openxmlformats.org/officeDocument/2006/relationships/image" Target="media/image3.jpeg"/><Relationship Id="rId53" Type="http://schemas.openxmlformats.org/officeDocument/2006/relationships/hyperlink" Target="consultantplus://offline/ref=DB1113943C0FB6B19A884EC72C6F61329C678DCFA2B471395CE98FCD57A1F67EF0D0EAE5F34343100C35FD7061D2EBE49C52D8F9FD6DD25E14F2CDiFA2G" TargetMode="External"/><Relationship Id="rId58" Type="http://schemas.openxmlformats.org/officeDocument/2006/relationships/hyperlink" Target="consultantplus://offline/ref=DB1113943C0FB6B19A884EC72C6F61329C678DCFA2B9773A59E98FCD57A1F67EF0D0EAE5F34343100C35FC7861D2EBE49C52D8F9FD6DD25E14F2CDiFA2G" TargetMode="External"/><Relationship Id="rId66" Type="http://schemas.openxmlformats.org/officeDocument/2006/relationships/hyperlink" Target="consultantplus://offline/ref=23466EC1689D15AA253F534D8FA8416CDD5975A07C6C2D18D1D3D5E2CABC30FE012B556E438CA3D8737E41893CE9411CE331E62A99F1BC6A87472E6Ar0Z1H" TargetMode="External"/><Relationship Id="rId74" Type="http://schemas.openxmlformats.org/officeDocument/2006/relationships/hyperlink" Target="consultantplus://offline/ref=DB1113943C0FB6B19A884EC72C6F61329C678DCFA0B2723F59E98FCD57A1F67EF0D0EAE5F34343100C37FD7861D2EBE49C52D8F9FD6DD25E14F2CDiFA2G" TargetMode="External"/><Relationship Id="rId79" Type="http://schemas.openxmlformats.org/officeDocument/2006/relationships/image" Target="media/image7.png"/><Relationship Id="rId5" Type="http://schemas.openxmlformats.org/officeDocument/2006/relationships/hyperlink" Target="consultantplus://offline/ref=DB1113943C0FB6B19A884EC72C6F61329C678DCFA0B9703F5CE98FCD57A1F67EF0D0EAE5F34343100C35FC7461D2EBE49C52D8F9FD6DD25E14F2CDiFA2G" TargetMode="External"/><Relationship Id="rId61" Type="http://schemas.openxmlformats.org/officeDocument/2006/relationships/hyperlink" Target="consultantplus://offline/ref=DB1113943C0FB6B19A884EC72C6F61329C678DCFA0B2723F59E98FCD57A1F67EF0D0EAE5F34343100C35F87861D2EBE49C52D8F9FD6DD25E14F2CDiFA2G" TargetMode="External"/><Relationship Id="rId10" Type="http://schemas.openxmlformats.org/officeDocument/2006/relationships/hyperlink" Target="consultantplus://offline/ref=DB1113943C0FB6B19A884EC72C6F61329C678DCFA1B6703F5AE98FCD57A1F67EF0D0EAE5F34343100C32F87261D2EBE49C52D8F9FD6DD25E14F2CDiFA2G" TargetMode="External"/><Relationship Id="rId19" Type="http://schemas.openxmlformats.org/officeDocument/2006/relationships/hyperlink" Target="consultantplus://offline/ref=DB1113943C0FB6B19A8850CA3A033D3D9F6CDBC2A5B87D6907B6D49000A8FC29B79FB3A7B74E4210043EA8202ED3B7A0CF41D8F6FD6FDB42i1A4G" TargetMode="External"/><Relationship Id="rId31" Type="http://schemas.openxmlformats.org/officeDocument/2006/relationships/hyperlink" Target="consultantplus://offline/ref=DB1113943C0FB6B19A884EC72C6F61329C678DCFAAB5713D5CE98FCD57A1F67EF0D0EAE5F34343100C35FB7061D2EBE49C52D8F9FD6DD25E14F2CDiFA2G" TargetMode="External"/><Relationship Id="rId44" Type="http://schemas.openxmlformats.org/officeDocument/2006/relationships/image" Target="media/image2.jpeg"/><Relationship Id="rId52" Type="http://schemas.openxmlformats.org/officeDocument/2006/relationships/hyperlink" Target="consultantplus://offline/ref=DB1113943C0FB6B19A884EC72C6F61329C678DCFABB67E3650B485C50EADF479FF8FEFE2E24342161235F56F6886B8iAA2G" TargetMode="External"/><Relationship Id="rId60" Type="http://schemas.openxmlformats.org/officeDocument/2006/relationships/hyperlink" Target="consultantplus://offline/ref=DB1113943C0FB6B19A884EC72C6F61329C678DCFA0B2723F59E98FCD57A1F67EF0D0EAE5F34343100C35FF7561D2EBE49C52D8F9FD6DD25E14F2CDiFA2G" TargetMode="External"/><Relationship Id="rId65" Type="http://schemas.openxmlformats.org/officeDocument/2006/relationships/hyperlink" Target="consultantplus://offline/ref=A20B4FDBE40D4D28040EE919BA9D5AA49BA54562F9307345AA95D382E30C8E6B6D323B3A88C2932657D1569F051557522243D6B25E372FB3E41C5E23fDUDH" TargetMode="External"/><Relationship Id="rId73" Type="http://schemas.openxmlformats.org/officeDocument/2006/relationships/hyperlink" Target="consultantplus://offline/ref=DB1113943C0FB6B19A884EC72C6F61329C678DCFA0B2723F59E98FCD57A1F67EF0D0EAE5F34343100C34F87361D2EBE49C52D8F9FD6DD25E14F2CDiFA2G" TargetMode="External"/><Relationship Id="rId78" Type="http://schemas.openxmlformats.org/officeDocument/2006/relationships/hyperlink" Target="consultantplus://offline/ref=DB1113943C0FB6B19A884EC72C6F61329C678DCFA0B2723F59E98FCD57A1F67EF0D0EAE5F34343100C37FB7061D2EBE49C52D8F9FD6DD25E14F2CDiFA2G" TargetMode="External"/><Relationship Id="rId81" Type="http://schemas.openxmlformats.org/officeDocument/2006/relationships/theme" Target="theme/theme1.xml"/><Relationship Id="rId4" Type="http://schemas.openxmlformats.org/officeDocument/2006/relationships/hyperlink" Target="consultantplus://offline/ref=DB1113943C0FB6B19A884EC72C6F61329C678DCFA0B2723F59E98FCD57A1F67EF0D0EAE5F34343100C35FC7461D2EBE49C52D8F9FD6DD25E14F2CDiFA2G" TargetMode="External"/><Relationship Id="rId9" Type="http://schemas.openxmlformats.org/officeDocument/2006/relationships/hyperlink" Target="consultantplus://offline/ref=DB1113943C0FB6B19A8850CA3A033D3D986CD6CAA0B37D6907B6D49000A8FC29A59FEBABB7485C10052BFE7168i8A4G" TargetMode="External"/><Relationship Id="rId14" Type="http://schemas.openxmlformats.org/officeDocument/2006/relationships/hyperlink" Target="consultantplus://offline/ref=DB1113943C0FB6B19A884EC72C6F61329C678DCFA7B572375AE98FCD57A1F67EF0D0EAE5F34343100C35FD7361D2EBE49C52D8F9FD6DD25E14F2CDiFA2G" TargetMode="External"/><Relationship Id="rId22" Type="http://schemas.openxmlformats.org/officeDocument/2006/relationships/hyperlink" Target="consultantplus://offline/ref=DB1113943C0FB6B19A884EC72C6F61329C678DCFAAB5713D5CE98FCD57A1F67EF0D0EAE5F34343100C35FD7461D2EBE49C52D8F9FD6DD25E14F2CDiFA2G" TargetMode="External"/><Relationship Id="rId27" Type="http://schemas.openxmlformats.org/officeDocument/2006/relationships/hyperlink" Target="consultantplus://offline/ref=DB1113943C0FB6B19A884EC72C6F61329C678DCFA0B2723F59E98FCD57A1F67EF0D0EAE5F34343100C35FD7261D2EBE49C52D8F9FD6DD25E14F2CDiFA2G" TargetMode="External"/><Relationship Id="rId30" Type="http://schemas.openxmlformats.org/officeDocument/2006/relationships/hyperlink" Target="consultantplus://offline/ref=DB1113943C0FB6B19A884EC72C6F61329C678DCFAAB5713D5CE98FCD57A1F67EF0D0EAE5F34343100C35F87061D2EBE49C52D8F9FD6DD25E14F2CDiFA2G" TargetMode="External"/><Relationship Id="rId35" Type="http://schemas.openxmlformats.org/officeDocument/2006/relationships/hyperlink" Target="consultantplus://offline/ref=DB1113943C0FB6B19A884EC72C6F61329C678DCFA0B2723F59E98FCD57A1F67EF0D0EAE5F34343100C35FF7361D2EBE49C52D8F9FD6DD25E14F2CDiFA2G" TargetMode="External"/><Relationship Id="rId43" Type="http://schemas.openxmlformats.org/officeDocument/2006/relationships/image" Target="media/image1.jpeg"/><Relationship Id="rId48" Type="http://schemas.openxmlformats.org/officeDocument/2006/relationships/hyperlink" Target="consultantplus://offline/ref=DB1113943C0FB6B19A884EC72C6F61329C678DCFA0B2723F59E98FCD57A1F67EF0D0EAE5F34343100C35FF7261D2EBE49C52D8F9FD6DD25E14F2CDiFA2G" TargetMode="External"/><Relationship Id="rId56" Type="http://schemas.openxmlformats.org/officeDocument/2006/relationships/hyperlink" Target="consultantplus://offline/ref=DB1113943C0FB6B19A884EC72C6F61329C678DCFA1B0743C50B485C50EADF479FF8FFDE2BA4F42100C34FE7A3ED7FEF5C45FDEE1E364C54216F0iCADG" TargetMode="External"/><Relationship Id="rId64" Type="http://schemas.openxmlformats.org/officeDocument/2006/relationships/hyperlink" Target="consultantplus://offline/ref=DB1113943C0FB6B19A884EC72C6F61329C678DCFA0B2723F59E98FCD57A1F67EF0D0EAE5F34343100C34FE7261D2EBE49C52D8F9FD6DD25E14F2CDiFA2G" TargetMode="External"/><Relationship Id="rId69" Type="http://schemas.openxmlformats.org/officeDocument/2006/relationships/hyperlink" Target="consultantplus://offline/ref=E03BB92D0D02E6A2E323E5B26E63AD8DAF324F0B7CB0DD3CA319F8190B602A793DF9A27A573C0DC3C0B9E0AD33523835sBjFI" TargetMode="External"/><Relationship Id="rId77" Type="http://schemas.openxmlformats.org/officeDocument/2006/relationships/image" Target="media/image6.png"/><Relationship Id="rId8" Type="http://schemas.openxmlformats.org/officeDocument/2006/relationships/hyperlink" Target="consultantplus://offline/ref=DB1113943C0FB6B19A884EC72C6F61329C678DCFAAB5713D5CE98FCD57A1F67EF0D0EAE5F34343100C35FC7461D2EBE49C52D8F9FD6DD25E14F2CDiFA2G" TargetMode="External"/><Relationship Id="rId51" Type="http://schemas.openxmlformats.org/officeDocument/2006/relationships/hyperlink" Target="consultantplus://offline/ref=DB1113943C0FB6B19A884EC72C6F61329C678DCFA1B07E3A5CE98FCD57A1F67EF0D0EAE5F34343100C35FD7161D2EBE49C52D8F9FD6DD25E14F2CDiFA2G" TargetMode="External"/><Relationship Id="rId72" Type="http://schemas.openxmlformats.org/officeDocument/2006/relationships/hyperlink" Target="consultantplus://offline/ref=E03BB92D0D02E6A2E323E5B26E63AD8DAF324F0B7DB2DB3EAB19F8190B602A793DF9A27A573C0DC3C0B9E0AD33523835sBjFI"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consultantplus://offline/ref=DB1113943C0FB6B19A884EC72C6F61329C678DCFA0B2723F59E98FCD57A1F67EF0D0EAE5F34343100C35FD7361D2EBE49C52D8F9FD6DD25E14F2CDiFA2G" TargetMode="External"/><Relationship Id="rId17" Type="http://schemas.openxmlformats.org/officeDocument/2006/relationships/hyperlink" Target="consultantplus://offline/ref=DB1113943C0FB6B19A884EC72C6F61329C678DCFAAB5713D5CE98FCD57A1F67EF0D0EAE5F34343100C35FD7561D2EBE49C52D8F9FD6DD25E14F2CDiFA2G" TargetMode="External"/><Relationship Id="rId25" Type="http://schemas.openxmlformats.org/officeDocument/2006/relationships/hyperlink" Target="consultantplus://offline/ref=DB1113943C0FB6B19A884EC72C6F61329C678DCFAAB5713D5CE98FCD57A1F67EF0D0EAE5F34343100C35FD7961D2EBE49C52D8F9FD6DD25E14F2CDiFA2G" TargetMode="External"/><Relationship Id="rId33" Type="http://schemas.openxmlformats.org/officeDocument/2006/relationships/hyperlink" Target="consultantplus://offline/ref=DB1113943C0FB6B19A884EC72C6F61329C678DCFA0B2723F59E98FCD57A1F67EF0D0EAE5F34343100C35FE7861D2EBE49C52D8F9FD6DD25E14F2CDiFA2G" TargetMode="External"/><Relationship Id="rId38" Type="http://schemas.openxmlformats.org/officeDocument/2006/relationships/hyperlink" Target="consultantplus://offline/ref=DB1113943C0FB6B19A884EC72C6F61329C678DCFAAB074385AE98FCD57A1F67EF0D0EAE5F34343100C35FD7561D2EBE49C52D8F9FD6DD25E14F2CDiFA2G" TargetMode="External"/><Relationship Id="rId46" Type="http://schemas.openxmlformats.org/officeDocument/2006/relationships/image" Target="media/image4.jpeg"/><Relationship Id="rId59" Type="http://schemas.openxmlformats.org/officeDocument/2006/relationships/hyperlink" Target="consultantplus://offline/ref=DB1113943C0FB6B19A884EC72C6F61329C678DCFA1B0723E5EE98FCD57A1F67EF0D0EAE5F34343100C35FD7161D2EBE49C52D8F9FD6DD25E14F2CDiFA2G" TargetMode="External"/><Relationship Id="rId67" Type="http://schemas.openxmlformats.org/officeDocument/2006/relationships/hyperlink" Target="consultantplus://offline/ref=23466EC1689D15AA253F534D8FA8416CDD5975A07C6C2D18D1D3D5E2CABC30FE012B556E438CA3D8737E41893CE9411CE331E62A99F1BC6A87472E6Ar0Z1H" TargetMode="External"/><Relationship Id="rId20" Type="http://schemas.openxmlformats.org/officeDocument/2006/relationships/hyperlink" Target="consultantplus://offline/ref=DB1113943C0FB6B19A8850CA3A033D3D9964D1C5A6BA20630FEFD89207A7A33EB0D6BFA6B74E43150761AD353F8BBAA6D75FD1E1E16DD9i4A2G" TargetMode="External"/><Relationship Id="rId41" Type="http://schemas.openxmlformats.org/officeDocument/2006/relationships/hyperlink" Target="consultantplus://offline/ref=DB1113943C0FB6B19A884EC72C6F61329C678DCFAAB074385AE98FCD57A1F67EF0D0EAE5F34343100C35FD7961D2EBE49C52D8F9FD6DD25E14F2CDiFA2G" TargetMode="External"/><Relationship Id="rId54" Type="http://schemas.openxmlformats.org/officeDocument/2006/relationships/hyperlink" Target="consultantplus://offline/ref=DB1113943C0FB6B19A884EC72C6F61329C678DCFA2B1763A5AE98FCD57A1F67EF0D0EAF7F31B4F100A2BFC787484BAA2iCABG" TargetMode="External"/><Relationship Id="rId62" Type="http://schemas.openxmlformats.org/officeDocument/2006/relationships/hyperlink" Target="consultantplus://offline/ref=DB1113943C0FB6B19A884EC72C6F61329C678DCFAAB5713D5CE98FCD57A1F67EF0D0EAE5F34343100C30F57061D2EBE49C52D8F9FD6DD25E14F2CDiFA2G" TargetMode="External"/><Relationship Id="rId70" Type="http://schemas.openxmlformats.org/officeDocument/2006/relationships/hyperlink" Target="consultantplus://offline/ref=E03BB92D0D02E6A2E323E5B26E63AD8DAF324F0B7DB6DE3CA219F8190B602A793DF9A27A573C0DC3C0B9E0AD33523835sBjFI" TargetMode="External"/><Relationship Id="rId75" Type="http://schemas.openxmlformats.org/officeDocument/2006/relationships/hyperlink" Target="consultantplus://offline/ref=DB1113943C0FB6B19A884EC72C6F61329C678DCFAAB074385AE98FCD57A1F67EF0D0EAE5F34343100C35F47961D2EBE49C52D8F9FD6DD25E14F2CDiFA2G" TargetMode="External"/><Relationship Id="rId1" Type="http://schemas.openxmlformats.org/officeDocument/2006/relationships/styles" Target="styles.xml"/><Relationship Id="rId6" Type="http://schemas.openxmlformats.org/officeDocument/2006/relationships/hyperlink" Target="consultantplus://offline/ref=DB1113943C0FB6B19A884EC72C6F61329C678DCFA7B572375AE98FCD57A1F67EF0D0EAE5F34343100C35FC7461D2EBE49C52D8F9FD6DD25E14F2CDiFA2G" TargetMode="External"/><Relationship Id="rId15" Type="http://schemas.openxmlformats.org/officeDocument/2006/relationships/hyperlink" Target="consultantplus://offline/ref=DB1113943C0FB6B19A884EC72C6F61329C678DCFAAB074385AE98FCD57A1F67EF0D0EAE5F34343100C35FD7061D2EBE49C52D8F9FD6DD25E14F2CDiFA2G" TargetMode="External"/><Relationship Id="rId23" Type="http://schemas.openxmlformats.org/officeDocument/2006/relationships/hyperlink" Target="consultantplus://offline/ref=DB1113943C0FB6B19A8850CA3A033D3D9F69DBC2A1B77D6907B6D49000A8FC29A59FEBABB7485C10052BFE7168i8A4G" TargetMode="External"/><Relationship Id="rId28" Type="http://schemas.openxmlformats.org/officeDocument/2006/relationships/hyperlink" Target="consultantplus://offline/ref=DB1113943C0FB6B19A884EC72C6F61329C678DCFA1B6703F5AE98FCD57A1F67EF0D0EAF7F31B4F100A2BFC787484BAA2iCABG" TargetMode="External"/><Relationship Id="rId36" Type="http://schemas.openxmlformats.org/officeDocument/2006/relationships/hyperlink" Target="consultantplus://offline/ref=DB1113943C0FB6B19A884EC72C6F61329C678DCFAAB5713D5CE98FCD57A1F67EF0D0EAE5F34343100C30F57161D2EBE49C52D8F9FD6DD25E14F2CDiFA2G" TargetMode="External"/><Relationship Id="rId49" Type="http://schemas.openxmlformats.org/officeDocument/2006/relationships/hyperlink" Target="consultantplus://offline/ref=DB1113943C0FB6B19A884EC72C6F61329C678DCFA1B170375AE98FCD57A1F67EF0D0EAE5F34343100C35FD7161D2EBE49C52D8F9FD6DD25E14F2CDiFA2G" TargetMode="External"/><Relationship Id="rId57" Type="http://schemas.openxmlformats.org/officeDocument/2006/relationships/hyperlink" Target="consultantplus://offline/ref=DB1113943C0FB6B19A884EC72C6F61329C678DCFA2B1763A5AE98FCD57A1F67EF0D0EAF7F31B4F100A2BFC787484BAA2iCA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24477</Words>
  <Characters>139520</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Складчикова Светлана Евгеньевна</dc:creator>
  <cp:lastModifiedBy>Мальцева Надежда Константиновна</cp:lastModifiedBy>
  <cp:revision>3</cp:revision>
  <dcterms:created xsi:type="dcterms:W3CDTF">2022-09-08T08:20:00Z</dcterms:created>
  <dcterms:modified xsi:type="dcterms:W3CDTF">2022-09-08T08:20:00Z</dcterms:modified>
</cp:coreProperties>
</file>