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125"/>
        <w:gridCol w:w="3125"/>
        <w:gridCol w:w="3106"/>
      </w:tblGrid>
      <w:tr w:rsidR="006E6E63" w:rsidRPr="00F26095">
        <w:trPr>
          <w:cantSplit/>
          <w:trHeight w:val="1133"/>
        </w:trPr>
        <w:tc>
          <w:tcPr>
            <w:tcW w:w="9356" w:type="dxa"/>
            <w:gridSpan w:val="3"/>
          </w:tcPr>
          <w:p w:rsidR="006E6E63" w:rsidRDefault="006E6E63" w:rsidP="001532A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pt;height:84pt;visibility:visible">
                  <v:imagedata r:id="rId4" o:title=""/>
                </v:shape>
              </w:pict>
            </w:r>
          </w:p>
          <w:p w:rsidR="006E6E63" w:rsidRPr="00F26095" w:rsidRDefault="006E6E63" w:rsidP="003B21F0">
            <w:pPr>
              <w:spacing w:line="360" w:lineRule="atLeast"/>
              <w:rPr>
                <w:b/>
                <w:bCs/>
                <w:spacing w:val="50"/>
                <w:sz w:val="46"/>
                <w:szCs w:val="46"/>
              </w:rPr>
            </w:pPr>
          </w:p>
        </w:tc>
      </w:tr>
      <w:tr w:rsidR="006E6E63" w:rsidRPr="00F26095">
        <w:trPr>
          <w:cantSplit/>
          <w:trHeight w:val="1134"/>
        </w:trPr>
        <w:tc>
          <w:tcPr>
            <w:tcW w:w="9356" w:type="dxa"/>
            <w:gridSpan w:val="3"/>
          </w:tcPr>
          <w:tbl>
            <w:tblPr>
              <w:tblW w:w="0" w:type="auto"/>
              <w:tblLayout w:type="fixed"/>
              <w:tblLook w:val="0000"/>
            </w:tblPr>
            <w:tblGrid>
              <w:gridCol w:w="3125"/>
              <w:gridCol w:w="3125"/>
              <w:gridCol w:w="3106"/>
            </w:tblGrid>
            <w:tr w:rsidR="006E6E63">
              <w:trPr>
                <w:cantSplit/>
                <w:trHeight w:val="1134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E63" w:rsidRDefault="006E6E63">
                  <w:pPr>
                    <w:pStyle w:val="Heading3"/>
                  </w:pPr>
                  <w:r>
                    <w:t>ПОСТАНОВЛЕНИЕ</w:t>
                  </w:r>
                </w:p>
                <w:p w:rsidR="006E6E63" w:rsidRDefault="006E6E63">
                  <w:pPr>
                    <w:pStyle w:val="Heading2"/>
                    <w:jc w:val="center"/>
                  </w:pPr>
                  <w:r>
                    <w:t>АДМИНИСТРАЦИИ  СЕЛЬСКОГО ПОСЕЛЕНИЯ ФАЩЕВСКИЙ СЕЛЬСОВЕТ ГРЯЗИНСКОГО  РАЙОНА ЛИПЕЦКОЙ   ОБЛАСТИ РОССИЙСКОЙ ФЕДЕРАЦИИ</w:t>
                  </w:r>
                </w:p>
                <w:p w:rsidR="006E6E63" w:rsidRDefault="006E6E63">
                  <w:pPr>
                    <w:pStyle w:val="Heading1"/>
                  </w:pPr>
                </w:p>
              </w:tc>
            </w:tr>
            <w:tr w:rsidR="006E6E63"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E63" w:rsidRDefault="006E6E63">
                  <w:pPr>
                    <w:spacing w:before="120" w:line="280" w:lineRule="atLeast"/>
                    <w:ind w:firstLine="34"/>
                    <w:jc w:val="center"/>
                    <w:rPr>
                      <w:rFonts w:ascii="Times New Roman" w:hAnsi="Times New Roman" w:cs="Times New Roman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6"/>
                      <w:szCs w:val="26"/>
                    </w:rPr>
                    <w:t>01.11.2011г.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E63" w:rsidRDefault="006E6E63">
                  <w:pPr>
                    <w:spacing w:before="120" w:line="280" w:lineRule="atLeast"/>
                    <w:ind w:firstLine="28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с.Фащевка</w:t>
                  </w:r>
                </w:p>
              </w:tc>
              <w:tc>
                <w:tcPr>
                  <w:tcW w:w="3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E63" w:rsidRDefault="006E6E63">
                  <w:pPr>
                    <w:spacing w:before="120" w:line="240" w:lineRule="atLeast"/>
                    <w:ind w:right="57" w:firstLine="2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176</w:t>
                  </w:r>
                </w:p>
              </w:tc>
            </w:tr>
          </w:tbl>
          <w:p w:rsidR="006E6E63" w:rsidRDefault="006E6E63" w:rsidP="00616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E63" w:rsidRDefault="006E6E63" w:rsidP="004E3A89">
            <w:pPr>
              <w:pStyle w:val="Heading1"/>
            </w:pPr>
          </w:p>
        </w:tc>
      </w:tr>
      <w:tr w:rsidR="006E6E63" w:rsidRPr="00F26095">
        <w:tc>
          <w:tcPr>
            <w:tcW w:w="3125" w:type="dxa"/>
          </w:tcPr>
          <w:p w:rsidR="006E6E63" w:rsidRPr="00F26095" w:rsidRDefault="006E6E63" w:rsidP="004E3A89">
            <w:pPr>
              <w:spacing w:before="120" w:line="280" w:lineRule="atLeast"/>
              <w:ind w:firstLine="34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3125" w:type="dxa"/>
          </w:tcPr>
          <w:p w:rsidR="006E6E63" w:rsidRPr="00F26095" w:rsidRDefault="006E6E63" w:rsidP="004E3A89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3106" w:type="dxa"/>
          </w:tcPr>
          <w:p w:rsidR="006E6E63" w:rsidRPr="00F26095" w:rsidRDefault="006E6E63" w:rsidP="004E3A89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6E63" w:rsidRPr="00CB3CE9" w:rsidRDefault="006E6E63" w:rsidP="00A47D1D">
      <w:pPr>
        <w:rPr>
          <w:rFonts w:ascii="Times New Roman" w:hAnsi="Times New Roman" w:cs="Times New Roman"/>
          <w:sz w:val="26"/>
          <w:szCs w:val="26"/>
        </w:rPr>
      </w:pPr>
    </w:p>
    <w:p w:rsidR="006E6E63" w:rsidRPr="003B21F0" w:rsidRDefault="006E6E63" w:rsidP="007D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F0">
        <w:rPr>
          <w:rFonts w:ascii="Times New Roman" w:hAnsi="Times New Roman" w:cs="Times New Roman"/>
          <w:sz w:val="28"/>
          <w:szCs w:val="28"/>
        </w:rPr>
        <w:t xml:space="preserve">Об утверждении  целевой программы                                                        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3B21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E6E63" w:rsidRPr="003B21F0" w:rsidRDefault="006E6E63" w:rsidP="007D4A9C">
      <w:pPr>
        <w:spacing w:after="0" w:line="240" w:lineRule="auto"/>
        <w:rPr>
          <w:rFonts w:ascii="Tahoma" w:hAnsi="Tahoma" w:cs="Tahoma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Фащевский  сельсовет на 2012-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.г.</w:t>
      </w:r>
      <w:r w:rsidRPr="003B21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6E63" w:rsidRDefault="006E6E63" w:rsidP="003B21F0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 Федеральным законом от  06. 10. </w:t>
      </w:r>
      <w:smartTag w:uri="urn:schemas-microsoft-com:office:smarttags" w:element="metricconverter">
        <w:smartTagPr>
          <w:attr w:name="ProductID" w:val="2003 г"/>
        </w:smartTagPr>
        <w:r w:rsidRPr="003B21F0">
          <w:rPr>
            <w:rFonts w:ascii="Times New Roman" w:hAnsi="Times New Roman" w:cs="Times New Roman"/>
            <w:color w:val="2C2C2C"/>
            <w:sz w:val="28"/>
            <w:szCs w:val="28"/>
            <w:lang w:eastAsia="ru-RU"/>
          </w:rPr>
          <w:t>2003 г</w:t>
        </w:r>
      </w:smartTag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« О правилах благоустройства территорий   населенных пунктов 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сельского поселения Фащевский</w:t>
      </w: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сельсовет», утвержденные решением Совета депутатов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сельского поселения Фащевский </w:t>
      </w: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сельсовет Грязинского муниципального района  №8 от 14 апреля  2010 года</w:t>
      </w:r>
      <w:r w:rsidRPr="003B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внесенными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Фащевский</w:t>
      </w:r>
      <w:r w:rsidRPr="003B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08 сентября 2010г №26)</w:t>
      </w: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сельского поселения Фащевский</w:t>
      </w: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сельсовет Грязинского муниципального района Липецкой области Российской Федерации                                                                                      </w:t>
      </w:r>
    </w:p>
    <w:p w:rsidR="006E6E63" w:rsidRPr="003174A1" w:rsidRDefault="006E6E63" w:rsidP="003B21F0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4A1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п о с т а н о в л я е т:</w:t>
      </w:r>
    </w:p>
    <w:p w:rsidR="006E6E63" w:rsidRPr="003B21F0" w:rsidRDefault="006E6E63" w:rsidP="00A47D1D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1. Утвердить прилагаемую  целевую программу «Благоустройство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территории сельского поселения Фащевский  сельсовет  на  2012 - 2014г.г.</w:t>
      </w: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».</w:t>
      </w:r>
    </w:p>
    <w:p w:rsidR="006E6E63" w:rsidRPr="003B21F0" w:rsidRDefault="006E6E63" w:rsidP="00A47D1D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2. Финансирование Программы, начиная с 2012 года, осуществлять в пределах средств, предусмотренных в бюджете  сельского поселения на соответствующий финансовый год.</w:t>
      </w:r>
    </w:p>
    <w:p w:rsidR="006E6E63" w:rsidRPr="003B21F0" w:rsidRDefault="006E6E63" w:rsidP="00A47D1D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E6E63" w:rsidRPr="003B21F0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:rsidR="006E6E63" w:rsidRPr="003B21F0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Глава администрации сельского поселения</w:t>
      </w:r>
    </w:p>
    <w:p w:rsidR="006E6E63" w:rsidRPr="003174A1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Фащевский</w:t>
      </w: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сельсов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ет</w:t>
      </w:r>
      <w:r w:rsidRPr="003B21F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:    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В.Н.Ульшин</w:t>
      </w: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6"/>
          <w:szCs w:val="26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ind w:left="4859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УТВЕРЖДЕНА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6E6E63" w:rsidRDefault="006E6E63" w:rsidP="00A47D1D">
      <w:pPr>
        <w:spacing w:before="100" w:beforeAutospacing="1" w:after="0" w:line="240" w:lineRule="atLeast"/>
        <w:ind w:left="4859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постановлением администр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ации сельского поселения Фащевский сельсовет  </w:t>
      </w:r>
    </w:p>
    <w:p w:rsidR="006E6E63" w:rsidRPr="00A47D1D" w:rsidRDefault="006E6E63" w:rsidP="00A47D1D">
      <w:pPr>
        <w:spacing w:before="100" w:beforeAutospacing="1" w:after="0" w:line="240" w:lineRule="atLeast"/>
        <w:ind w:left="4859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        от 01 ноября 2011 года № 176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074D67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</w:t>
      </w:r>
      <w:r w:rsidRPr="00074D67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Ц</w:t>
      </w:r>
      <w:r w:rsidRPr="00A47D1D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елевая программа 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"Благоустройство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территории </w:t>
      </w:r>
      <w:r w:rsidRPr="00A47D1D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сельского поселения  Фащевский  сельсовет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на 2012 -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  <w:bCs/>
            <w:color w:val="2C2C2C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.г.</w:t>
      </w:r>
      <w:r w:rsidRPr="00A47D1D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"</w:t>
      </w:r>
    </w:p>
    <w:p w:rsidR="006E6E63" w:rsidRPr="00A47D1D" w:rsidRDefault="006E6E63" w:rsidP="00074D67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Паспорт                                                                                                                                          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целевой программы</w:t>
      </w:r>
    </w:p>
    <w:p w:rsidR="006E6E63" w:rsidRPr="00A47D1D" w:rsidRDefault="006E6E63" w:rsidP="00A47D1D">
      <w:pPr>
        <w:spacing w:before="100" w:beforeAutospacing="1" w:after="0" w:line="240" w:lineRule="atLeast"/>
        <w:ind w:firstLine="539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«Благоустройс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тво территории сельского поселения Фащевский сельсовет  на 2012 -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2C2C2C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.г.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6E6E63" w:rsidRPr="00A47D1D" w:rsidRDefault="006E6E63" w:rsidP="00A47D1D">
      <w:pPr>
        <w:spacing w:before="100" w:beforeAutospacing="1" w:after="0" w:line="240" w:lineRule="atLeast"/>
        <w:ind w:firstLine="539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W w:w="9825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51"/>
        <w:gridCol w:w="7074"/>
      </w:tblGrid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074D67">
            <w:pPr>
              <w:spacing w:before="100" w:beforeAutospacing="1"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целевая программа </w:t>
            </w:r>
            <w:r w:rsidRPr="00A47D1D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>«Благоустройс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тво территории сельского поселения Фащевский сельсовет на  2012 -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color w:val="2C2C2C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>.г.</w:t>
            </w:r>
            <w:r w:rsidRPr="00A47D1D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в тексте - Программа)</w:t>
            </w:r>
          </w:p>
        </w:tc>
      </w:tr>
      <w:tr w:rsidR="006E6E63" w:rsidRPr="00F26095">
        <w:trPr>
          <w:trHeight w:val="360"/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сентября 2003 года N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>П</w:t>
            </w:r>
            <w:r w:rsidRPr="00A47D1D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равила благоустройства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>территорий</w:t>
            </w:r>
            <w:r w:rsidRPr="00A47D1D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113970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 w:rsidRPr="00A47D1D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населенных пунктов </w:t>
            </w:r>
            <w:r w:rsidRPr="00113970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>Фащевский сельсовет</w:t>
            </w:r>
            <w:r w:rsidRPr="00A47D1D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», утвержденные решением </w:t>
            </w:r>
            <w:r w:rsidRPr="00113970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>Совета депутатов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сельского поселения Фащевский сельсовет Грязинского муниципального района  №8 от 14 апреля</w:t>
            </w:r>
            <w:r w:rsidRPr="00113970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2010</w:t>
            </w:r>
            <w:r w:rsidRPr="00A47D1D">
              <w:rPr>
                <w:rFonts w:ascii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года</w:t>
            </w:r>
            <w:r w:rsidRPr="001139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изменениями,внесенными решением Совета депутатов сельского поселения Фащевский сельсовет от 08 сентября 2010г №26)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Фащевский сельсовет Грязинского муниципального района Липецкой области РФ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4E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Фащевский сельсовет Грязинского муниципального района Липецкой области РФ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благоустройства, осуществление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поддержанию порядка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санитарного состояния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Фащевский сельсовет.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условий для деятельности и отдыха жителей поселения.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единого порядка содержания территорий;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- 2012 - 2014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территорий;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Фащевский сельсовет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6E63" w:rsidRPr="00A47D1D" w:rsidRDefault="006E6E63" w:rsidP="0011397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руководители предприятий и организаций (по согласованию);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на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Программы составляет 1222,1 тыс.руб.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Приложению 1 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ходом реализации Программы представляет собой систему ежегодного мониторинга действий исполнителей мероприятий Программы.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Фащевский сельсовет представляет Совету 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 сельского поселения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ходе реализации мероприятий Программы. </w:t>
            </w:r>
          </w:p>
        </w:tc>
      </w:tr>
      <w:tr w:rsidR="006E6E63" w:rsidRPr="00F26095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113970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результате реализации программы благоустроить территории мест массового пребывания населения,, обустроить детские и спортивные площадки, ликвидировать несанкционированные свалки, обновить памятник-обелиск участникам ВОВ, прочие мероприятия</w:t>
            </w:r>
          </w:p>
        </w:tc>
      </w:tr>
    </w:tbl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 Содержание проблемы и обоснование необходимости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ее решения программными методами</w:t>
      </w:r>
    </w:p>
    <w:p w:rsidR="006E6E63" w:rsidRPr="00A47D1D" w:rsidRDefault="006E6E63" w:rsidP="00A47D1D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Данная Программа является основной для реализации мероприятий по благоустройству, озеленению, ул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учшению санитарного состояния 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населённых пунктов. </w:t>
      </w:r>
    </w:p>
    <w:p w:rsidR="006E6E63" w:rsidRPr="00A47D1D" w:rsidRDefault="006E6E63" w:rsidP="00C1383F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Сельское поселение Фащевский сельсовет  включает в себя 2 населённых пункта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с.Фащевка, п.Первомайский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. Населённые пункты удалены друг от друга, 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6E6E63" w:rsidRPr="00A47D1D" w:rsidRDefault="006E6E63" w:rsidP="00A47D1D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2010 года в населённых пунктах поселения проведена определённая работа по ремонту дорожного покрытия, обновились детские площадки, установ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лены светильники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E63" w:rsidRPr="00A47D1D" w:rsidRDefault="006E6E63" w:rsidP="00A47D1D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учреждений, 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населения, обеспечивающих жизнедеятельность поселения и занимающихся благоустройством. Определение пер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спектив благоустройства  сельского поселения 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6E6E63" w:rsidRPr="00A47D1D" w:rsidRDefault="006E6E63" w:rsidP="00A47D1D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Финансовое обеспечение Программы осуществляется за счет бюдже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та сельского поселения Фащевский сельсовет Грязинского муниципального района Липецкой области Российской Федерации.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2. Основные цели, задачи Программы, сроки реализации.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Целями и задачами Программы являются: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-осуществление мероприятий по поддержанию п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орядка, благоустройства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и санитарного состо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яния на территории 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 Фащевский сельсовет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формирование среды, благоприятной для проживания населения;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установление единого порядка содержания территорий;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усиление контроля за использованием, охраной и благоустройством территорий;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E6E63" w:rsidRPr="00A47D1D" w:rsidRDefault="006E6E63" w:rsidP="00C1383F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роки реализации Программы – 2012-2014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годы.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3. Система программных мероприятий </w:t>
      </w:r>
    </w:p>
    <w:p w:rsidR="006E6E63" w:rsidRPr="00A47D1D" w:rsidRDefault="006E6E63" w:rsidP="00A47D1D">
      <w:pPr>
        <w:spacing w:before="100" w:beforeAutospacing="1" w:after="0" w:line="240" w:lineRule="atLeast"/>
        <w:ind w:firstLine="70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программно-целевым мероприятиям относятся: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озеленение территории муниципального образования;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содержание и эксплуатация дорог;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освещение населённых пунктов муниципального образования;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определение и утверждение объема финансирования Программы;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подготовка отчета реализации программы, информационно-аналитических материалов;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 Ресурсное обеспечение Программных мероприятий</w:t>
      </w:r>
    </w:p>
    <w:p w:rsidR="006E6E63" w:rsidRPr="00A47D1D" w:rsidRDefault="006E6E63" w:rsidP="00A47D1D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Финансирование мероприятий Программы осуществляетс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я за счет средств 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сельского поселения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. Общая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сумма планируемых затрат за 2012 - 2014 годы – 1222,1тыс.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рублей.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5. Механизм реализации Программы</w:t>
      </w:r>
    </w:p>
    <w:p w:rsidR="006E6E63" w:rsidRPr="00A47D1D" w:rsidRDefault="006E6E63" w:rsidP="00A47D1D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6E6E63" w:rsidRPr="00A47D1D" w:rsidRDefault="006E6E63" w:rsidP="006B717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Основным координатором реализации данной Программы является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Фащевский сельсовет Грязинского муниципального района Липецкой области РФ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6. Организация управления Программой, контроль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над ходом ее реализации</w:t>
      </w:r>
    </w:p>
    <w:p w:rsidR="006E6E63" w:rsidRPr="00A47D1D" w:rsidRDefault="006E6E63" w:rsidP="00E927F5">
      <w:pPr>
        <w:spacing w:before="100" w:beforeAutospacing="1" w:after="0" w:line="240" w:lineRule="atLeast"/>
        <w:ind w:firstLine="539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6E6E63" w:rsidRPr="00A47D1D" w:rsidRDefault="006E6E63" w:rsidP="006B7175">
      <w:pPr>
        <w:spacing w:before="100" w:beforeAutospacing="1" w:after="0" w:line="240" w:lineRule="atLeast"/>
        <w:ind w:firstLine="539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7. Ожидаемые конечные результаты программы.</w:t>
      </w:r>
    </w:p>
    <w:p w:rsidR="006E6E63" w:rsidRDefault="006E6E63" w:rsidP="00E927F5">
      <w:pPr>
        <w:spacing w:before="100" w:beforeAutospacing="1"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Реализация Программных мероприятий позволит обустроить детские и спортивные площадки, ликвидировать несанкционированные св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алки, обновить памятник 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участникам Великой Отечественной войны.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Привитие жителям муниципального образования любви и уважения к своей малой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A47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Родине, к соблюдению чистоты и порядка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Фащевский сельсовет.</w:t>
      </w:r>
    </w:p>
    <w:p w:rsidR="006E6E63" w:rsidRPr="00A47D1D" w:rsidRDefault="006E6E63" w:rsidP="00A47D1D">
      <w:pPr>
        <w:spacing w:before="100" w:beforeAutospacing="1" w:after="0" w:line="240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риложение </w:t>
      </w:r>
    </w:p>
    <w:p w:rsidR="006E6E63" w:rsidRPr="00A47D1D" w:rsidRDefault="006E6E63" w:rsidP="00A47D1D">
      <w:pPr>
        <w:spacing w:before="100" w:beforeAutospacing="1" w:after="0" w:line="240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целевой программе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Основные мероприятия</w:t>
      </w:r>
    </w:p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муниципальной целевой программы "Благоустройство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территории сельского поселения Фащевский сельсовет на 2012 - 2014 г.г.</w:t>
      </w:r>
      <w:r w:rsidRPr="00A47D1D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" </w:t>
      </w:r>
    </w:p>
    <w:tbl>
      <w:tblPr>
        <w:tblW w:w="5000" w:type="pct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5"/>
        <w:gridCol w:w="2744"/>
        <w:gridCol w:w="938"/>
        <w:gridCol w:w="938"/>
        <w:gridCol w:w="1021"/>
        <w:gridCol w:w="1021"/>
        <w:gridCol w:w="733"/>
        <w:gridCol w:w="1635"/>
      </w:tblGrid>
      <w:tr w:rsidR="006E6E63" w:rsidRPr="00F26095" w:rsidTr="000C0C11">
        <w:trPr>
          <w:trHeight w:val="105"/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годам</w:t>
            </w:r>
          </w:p>
        </w:tc>
        <w:tc>
          <w:tcPr>
            <w:tcW w:w="8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E6E63" w:rsidRPr="00F26095" w:rsidTr="000C0C11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E63" w:rsidRPr="00A47D1D" w:rsidRDefault="006E6E63" w:rsidP="00A47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E63" w:rsidRPr="00A47D1D" w:rsidRDefault="006E6E63" w:rsidP="00A47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E63" w:rsidRPr="00F26095" w:rsidTr="000C0C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E63" w:rsidRPr="00A47D1D" w:rsidRDefault="006E6E63" w:rsidP="00A47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E63" w:rsidRPr="00A47D1D" w:rsidRDefault="006E6E63" w:rsidP="00A47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E63" w:rsidRPr="00F26095" w:rsidTr="000C0C11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335,8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1062,1</w:t>
            </w:r>
          </w:p>
        </w:tc>
      </w:tr>
      <w:tr w:rsidR="006E6E63" w:rsidRPr="00F26095" w:rsidTr="000C0C11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уличного  освещения (ремонт и замена светильников)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E6E63" w:rsidRPr="00F26095" w:rsidTr="000C0C11">
        <w:trPr>
          <w:trHeight w:val="150"/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Default="006E6E63" w:rsidP="00A47D1D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Default="006E6E63" w:rsidP="00A47D1D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Default="006E6E63" w:rsidP="00A47D1D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Default="006E6E63" w:rsidP="00A47D1D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Default="006E6E63" w:rsidP="00A47D1D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6E63" w:rsidRPr="00F26095" w:rsidTr="000C0C11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A4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63" w:rsidRPr="00A47D1D" w:rsidRDefault="006E6E63" w:rsidP="00A47D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E6E63" w:rsidRPr="00A47D1D" w:rsidRDefault="006E6E63" w:rsidP="000C0C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1222,1</w:t>
            </w:r>
          </w:p>
        </w:tc>
      </w:tr>
    </w:tbl>
    <w:p w:rsidR="006E6E63" w:rsidRPr="00A47D1D" w:rsidRDefault="006E6E63" w:rsidP="00A47D1D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before="100" w:beforeAutospacing="1" w:after="0" w:line="240" w:lineRule="atLeas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E6E63" w:rsidRPr="00A47D1D" w:rsidRDefault="006E6E63" w:rsidP="00A47D1D">
      <w:pPr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  <w:r w:rsidRPr="00A47D1D">
        <w:rPr>
          <w:rFonts w:ascii="Times New Roman" w:hAnsi="Times New Roman" w:cs="Times New Roman"/>
          <w:color w:val="4C4C4C"/>
          <w:sz w:val="24"/>
          <w:szCs w:val="24"/>
          <w:lang w:eastAsia="ru-RU"/>
        </w:rPr>
        <w:t> </w:t>
      </w:r>
    </w:p>
    <w:p w:rsidR="006E6E63" w:rsidRPr="00A47D1D" w:rsidRDefault="006E6E63">
      <w:pPr>
        <w:rPr>
          <w:rFonts w:ascii="Times New Roman" w:hAnsi="Times New Roman" w:cs="Times New Roman"/>
          <w:sz w:val="24"/>
          <w:szCs w:val="24"/>
        </w:rPr>
      </w:pPr>
    </w:p>
    <w:sectPr w:rsidR="006E6E63" w:rsidRPr="00A47D1D" w:rsidSect="001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1D"/>
    <w:rsid w:val="00062B6D"/>
    <w:rsid w:val="00074D67"/>
    <w:rsid w:val="000A4140"/>
    <w:rsid w:val="000C0C11"/>
    <w:rsid w:val="000E1585"/>
    <w:rsid w:val="00113970"/>
    <w:rsid w:val="001161E1"/>
    <w:rsid w:val="001349B4"/>
    <w:rsid w:val="001532A1"/>
    <w:rsid w:val="00154370"/>
    <w:rsid w:val="002425E6"/>
    <w:rsid w:val="002772CB"/>
    <w:rsid w:val="003174A1"/>
    <w:rsid w:val="00391835"/>
    <w:rsid w:val="003B21F0"/>
    <w:rsid w:val="003B70A0"/>
    <w:rsid w:val="003E6761"/>
    <w:rsid w:val="0044247D"/>
    <w:rsid w:val="004431A0"/>
    <w:rsid w:val="0047136F"/>
    <w:rsid w:val="00495EAD"/>
    <w:rsid w:val="004C1CA8"/>
    <w:rsid w:val="004E3A89"/>
    <w:rsid w:val="005D4ADE"/>
    <w:rsid w:val="005D68D5"/>
    <w:rsid w:val="006162A4"/>
    <w:rsid w:val="00626266"/>
    <w:rsid w:val="006B7175"/>
    <w:rsid w:val="006C1587"/>
    <w:rsid w:val="006C3667"/>
    <w:rsid w:val="006E6E63"/>
    <w:rsid w:val="006F0293"/>
    <w:rsid w:val="007177EB"/>
    <w:rsid w:val="007766E5"/>
    <w:rsid w:val="00783EDA"/>
    <w:rsid w:val="007861AA"/>
    <w:rsid w:val="007D4A9C"/>
    <w:rsid w:val="0081132B"/>
    <w:rsid w:val="00873882"/>
    <w:rsid w:val="00976706"/>
    <w:rsid w:val="009A56FF"/>
    <w:rsid w:val="00A202AF"/>
    <w:rsid w:val="00A46B52"/>
    <w:rsid w:val="00A47D1D"/>
    <w:rsid w:val="00A57E10"/>
    <w:rsid w:val="00A60B27"/>
    <w:rsid w:val="00A72487"/>
    <w:rsid w:val="00A82127"/>
    <w:rsid w:val="00A83249"/>
    <w:rsid w:val="00AD55B6"/>
    <w:rsid w:val="00B14AA8"/>
    <w:rsid w:val="00B22B7B"/>
    <w:rsid w:val="00C1383F"/>
    <w:rsid w:val="00CB245B"/>
    <w:rsid w:val="00CB3CE9"/>
    <w:rsid w:val="00DA4656"/>
    <w:rsid w:val="00DD0D61"/>
    <w:rsid w:val="00DD50F0"/>
    <w:rsid w:val="00DF2023"/>
    <w:rsid w:val="00DF2549"/>
    <w:rsid w:val="00E32E55"/>
    <w:rsid w:val="00E927F5"/>
    <w:rsid w:val="00ED30BE"/>
    <w:rsid w:val="00F12954"/>
    <w:rsid w:val="00F26095"/>
    <w:rsid w:val="00F32B6E"/>
    <w:rsid w:val="00F8066A"/>
    <w:rsid w:val="00FA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D1D"/>
    <w:pPr>
      <w:keepNext/>
      <w:tabs>
        <w:tab w:val="left" w:pos="1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D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7D1D"/>
    <w:pPr>
      <w:keepNext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D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7D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7D1D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4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Normal"/>
    <w:uiPriority w:val="99"/>
    <w:rsid w:val="00A47D1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1705</Words>
  <Characters>9724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5</cp:revision>
  <cp:lastPrinted>2011-11-24T04:15:00Z</cp:lastPrinted>
  <dcterms:created xsi:type="dcterms:W3CDTF">2011-11-17T04:33:00Z</dcterms:created>
  <dcterms:modified xsi:type="dcterms:W3CDTF">2011-11-24T04:15:00Z</dcterms:modified>
</cp:coreProperties>
</file>